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tblCellSpacing w:w="15" w:type="dxa"/>
        <w:tblCellMar>
          <w:top w:w="375" w:type="dxa"/>
          <w:left w:w="375" w:type="dxa"/>
          <w:bottom w:w="375" w:type="dxa"/>
          <w:right w:w="375" w:type="dxa"/>
        </w:tblCellMar>
        <w:tblLook w:val="04A0" w:firstRow="1" w:lastRow="0" w:firstColumn="1" w:lastColumn="0" w:noHBand="0" w:noVBand="1"/>
      </w:tblPr>
      <w:tblGrid>
        <w:gridCol w:w="8402"/>
        <w:gridCol w:w="51"/>
      </w:tblGrid>
      <w:tr w:rsidR="005B613D" w:rsidRPr="005B613D" w:rsidTr="005B613D">
        <w:trPr>
          <w:tblCellSpacing w:w="15" w:type="dxa"/>
        </w:trPr>
        <w:tc>
          <w:tcPr>
            <w:tcW w:w="500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3D" w:rsidRPr="005B613D" w:rsidRDefault="005B613D" w:rsidP="005B61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</w:p>
        </w:tc>
      </w:tr>
      <w:tr w:rsidR="005B613D" w:rsidRPr="005B613D" w:rsidTr="005B613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3D" w:rsidRPr="005B613D" w:rsidRDefault="005B613D" w:rsidP="005B613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</w:pPr>
            <w:bookmarkStart w:id="0" w:name="up"/>
            <w:bookmarkEnd w:id="0"/>
            <w:r w:rsidRPr="005B61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  <w:t>Creación de la Junta Administrativa del Archivo Nacional</w:t>
            </w:r>
          </w:p>
          <w:p w:rsidR="005B613D" w:rsidRPr="005B613D" w:rsidRDefault="005B613D" w:rsidP="005B613D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</w:p>
          <w:p w:rsidR="005B613D" w:rsidRPr="005B613D" w:rsidRDefault="005B613D" w:rsidP="005B613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Artículo 1º.- Créase la Junta Administrativa del Archivo Nacional.</w:t>
            </w:r>
          </w:p>
          <w:p w:rsidR="005B613D" w:rsidRPr="005B613D" w:rsidRDefault="005B613D" w:rsidP="005B613D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hyperlink r:id="rId6" w:tgtFrame="_top" w:history="1"/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Artículo 2º.- Las funciones de la Junta serán:</w:t>
            </w:r>
          </w:p>
          <w:p w:rsidR="005B613D" w:rsidRPr="005B613D" w:rsidRDefault="005B613D" w:rsidP="005B613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a) Dictar las medidas generales de organización u funcionamiento del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Archivo Nacional para el debido cumplimiento de los fines indicados en la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Ley del Archivo Nacional, Nº 3661(*) de 10 de enero de 1966;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(*) Derogada por Ley Nº 7202 de 24 de octubre de 1990.</w:t>
            </w:r>
          </w:p>
          <w:p w:rsidR="005B613D" w:rsidRDefault="005B613D" w:rsidP="005B613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b) Dictar los presupuestos, acordar los gastos y promover las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licitaciones con sujeción a lo que dispone, en lo conducente, el capítulo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II, título V de la Ley de la Administración Financiera de la República, Nº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1279 de 2 de mayo de 1951 y sus reformas; y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</w:p>
          <w:p w:rsidR="005B613D" w:rsidRPr="005B613D" w:rsidRDefault="005B613D" w:rsidP="005B613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c) Formular los programas de mejoras a la institución, de acuerdo con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las necesidades de la misma.</w:t>
            </w:r>
          </w:p>
          <w:p w:rsidR="005B613D" w:rsidRPr="005B613D" w:rsidRDefault="005B613D" w:rsidP="005B613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(TACITAMENTE DEROGADO por el artículo 11 de la Ley Nº 7202 de 24 de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octubre de 1990)</w:t>
            </w:r>
          </w:p>
          <w:p w:rsidR="005B613D" w:rsidRPr="005B613D" w:rsidRDefault="005B613D" w:rsidP="005B613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Artículo 3º.- La Junta estará integrada por el Ministro de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Gobernación o su representante, quien la presidirá; el Ministro de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Cultura o su representante; El Ministro de Educación o su representante;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un académico de número de la Academia de Geografía e Historia; un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representante del Departamento de Historia de la Universidad Nacional y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otro del Departamento de Geografía e Historia de la Universidad de Costa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Rica.</w:t>
            </w:r>
          </w:p>
          <w:p w:rsidR="005B613D" w:rsidRPr="005B613D" w:rsidRDefault="005B613D" w:rsidP="005B613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Para efectos del nombramiento de </w:t>
            </w:r>
            <w:proofErr w:type="spellStart"/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estes</w:t>
            </w:r>
            <w:proofErr w:type="spellEnd"/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tres últimos miembros, la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Academia y Departamentos indicados enviarán ternas al Ministerio de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Gobernación y éstos serán nombrados por un período de tres años. Podrán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designarse suplentes para todos los miembros. El Ministro de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proofErr w:type="gramStart"/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Gobernación ,</w:t>
            </w:r>
            <w:proofErr w:type="gramEnd"/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mediante acuerdo, declarará integrada la Junta y recibirá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el juramento a sus miembros.</w:t>
            </w:r>
          </w:p>
          <w:p w:rsidR="005B613D" w:rsidRPr="005B613D" w:rsidRDefault="005B613D" w:rsidP="005B613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(TACITAMENTE DEROGADO por el artículo 12 de la Ley Nº 7202 de 24 de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octubre de 1990)</w:t>
            </w:r>
          </w:p>
          <w:p w:rsidR="005B613D" w:rsidRPr="005B613D" w:rsidRDefault="005B613D" w:rsidP="005B613D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hyperlink r:id="rId7" w:tgtFrame="_top" w:history="1"/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Artículo 4º.- La Junta acordará los días y horas de sesiones, así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como el lugar de las mismas. Los miembros de la Junta laborarán ad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honórem. Sus acuerdos se tomarán por mayoría absoluta de votos presentes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y en caso de empate quien presida decidirá.</w:t>
            </w:r>
          </w:p>
          <w:p w:rsidR="005B613D" w:rsidRPr="005B613D" w:rsidRDefault="005B613D" w:rsidP="005B613D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</w:p>
          <w:p w:rsidR="005B613D" w:rsidRPr="005B613D" w:rsidRDefault="005B613D" w:rsidP="005B613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(TACITAMENTE DEROGADO por los artículos 13 y 14 de la Ley Nº 7202 de 24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de octubre de 1990)</w:t>
            </w:r>
          </w:p>
          <w:p w:rsidR="005B613D" w:rsidRPr="005B613D" w:rsidRDefault="005B613D" w:rsidP="005B613D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hyperlink r:id="rId8" w:tgtFrame="_top" w:history="1"/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Artículo 5º.- Para el cumplimiento de sus fines, la Dirección del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Archivo Nacional pondrá a disposición de la Junta el personal necesario,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dentro de sus posibilidades presupuestarias.</w:t>
            </w:r>
          </w:p>
          <w:p w:rsidR="005B613D" w:rsidRDefault="005B613D" w:rsidP="005B613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(TACITAMENTE DEROGADO por el artículo 16 de la Ley Nº 7202 de 24 de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octubre de 1990)</w:t>
            </w:r>
          </w:p>
          <w:p w:rsidR="005B613D" w:rsidRPr="005B613D" w:rsidRDefault="005B613D" w:rsidP="005B613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hyperlink r:id="rId9" w:tgtFrame="_top" w:history="1"/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Artículo 6º.- El Director General del Archivo Nacional tendrá la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representación judicial y extrajudicial de la Junta, y será su personero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ejecutivo. Deberá asistir a sus sesiones, con voz pero sin voto.</w:t>
            </w:r>
          </w:p>
          <w:p w:rsidR="005B613D" w:rsidRPr="005B613D" w:rsidRDefault="005B613D" w:rsidP="005B613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(TACITAMENTE DEROGADO por los artículos 15 y 17 de la Ley Nº 7202 de 24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de octubre de 1990)</w:t>
            </w:r>
          </w:p>
          <w:p w:rsidR="005B613D" w:rsidRPr="005B613D" w:rsidRDefault="005B613D" w:rsidP="005B613D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hyperlink r:id="rId10" w:tgtFrame="_top" w:history="1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rtículo 7º.- Para los efectos de financiación de la Junta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Administrativa del Archivo Nacional, se reforma el párrafo segundo del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inciso 13) del artículo 273 del Código Fiscal, reformado por ley Nº 3647 de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15 de diciembre de 1965, el cual se leerá así:</w:t>
            </w:r>
          </w:p>
          <w:p w:rsidR="005B613D" w:rsidRPr="005B613D" w:rsidRDefault="005B613D" w:rsidP="005B613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"Los cheques que se giren contra cuentas corrientes establecidas en los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bancos del país deberán pagar un impuesto de diez céntimos de colón, el cual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será cobrado por el banco respectivo al entregar la fórmula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correspondiente".</w:t>
            </w:r>
          </w:p>
          <w:p w:rsidR="005B613D" w:rsidRPr="005B613D" w:rsidRDefault="005B613D" w:rsidP="005B613D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hyperlink r:id="rId11" w:tgtFrame="_top" w:history="1"/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Artículo 8º.- Los bancos tomarán las disposiciones necesarias para la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percepción del impuesto y girarán a la Junta Administrativa del Archivo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Nacional, seis céntimos de colón por ca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da fórmula de cheques, dentro de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los primeros cinco días de cada mes. Los cuatro céntimos restantes se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girarán conforme a las normas del artículo 2º de la ley Nº 3647, referida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en el artículo anterior.</w:t>
            </w:r>
            <w:hyperlink r:id="rId12" w:tgtFrame="_top" w:history="1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</w:p>
          <w:p w:rsidR="005B613D" w:rsidRDefault="005B613D" w:rsidP="005B613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Artículo 9º.- Se autoriza a la Junta Administrativa del Archivo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Nacional para contratar empréstitos, con la garantía de las rentas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creadas por esta ley y cualesquiera otras que se estimen necesarias, con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destino a la adquisición de una propiedad, construcción de edificio,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contratación de servicios y compra de equipo y mobiliario necesarios para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la instalación y modernización del Archivo.</w:t>
            </w:r>
            <w:hyperlink r:id="rId13" w:tgtFrame="_top" w:history="1"/>
          </w:p>
          <w:p w:rsidR="005B613D" w:rsidRPr="005B613D" w:rsidRDefault="005B613D" w:rsidP="005B613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Artículo 10.- Se autoriza a las instituciones y corporaciones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autónomas y semiautónomas a concederle empréstitos y a éstas y a los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Poderes de Estado a hacerle donaciones.</w:t>
            </w:r>
          </w:p>
          <w:p w:rsidR="005B613D" w:rsidRPr="005B613D" w:rsidRDefault="005B613D" w:rsidP="005B613D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</w:p>
          <w:p w:rsidR="005B613D" w:rsidRPr="005B613D" w:rsidRDefault="005B613D" w:rsidP="005B613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(TACITAMENTE DEROGADO por el artículo 18 de la Ley Nº 7202 de 24 de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octubre de 1990)</w:t>
            </w:r>
          </w:p>
          <w:p w:rsidR="005B613D" w:rsidRPr="005B613D" w:rsidRDefault="005B613D" w:rsidP="005B613D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hyperlink r:id="rId14" w:tgtFrame="_top" w:history="1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rtículo 11.- La dependencias de los tres Poderes de Estado, del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Tribunal Supremo de Elecciones y de las instituciones y corporaciones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autónomas y semiautónomas del Estado están obligadas a entregar al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Archivo Nacional, copia de las fotografías, películas y grabaciones que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obtuvieran de ceremonias públicas o privadas, actos públicos, edificios,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visita de personalidades y otros actos de interés histórico.</w:t>
            </w:r>
          </w:p>
          <w:p w:rsidR="005B613D" w:rsidRPr="005B613D" w:rsidRDefault="005B613D" w:rsidP="005B613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Asimismo el Presidente de la República, al concluir sus funciones,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entregará al Archivo Nacional los Documentos originales de la Casa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Presidencial durante su gestión.</w:t>
            </w:r>
          </w:p>
          <w:p w:rsidR="005B613D" w:rsidRPr="005B613D" w:rsidRDefault="005B613D" w:rsidP="005B613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(TACITAMENTE DEROGADO por los artículos 52 y 53 de la Ley Nº 7202 de 24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de octubre de 1990)</w:t>
            </w:r>
          </w:p>
          <w:p w:rsidR="005B613D" w:rsidRPr="005B613D" w:rsidRDefault="005B613D" w:rsidP="005B613D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hyperlink r:id="rId15" w:tgtFrame="_top" w:history="1"/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Artículo 12.- La Junta someterá a la aprobación de la Contraloría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General de la República, que fiscalizará su operación, los presupuestos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ordinarios y extraordinarios, así como sus modificaciones.</w:t>
            </w:r>
          </w:p>
          <w:p w:rsidR="005B613D" w:rsidRPr="005B613D" w:rsidRDefault="005B613D" w:rsidP="005B613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(TACITAMENTE DEROGADO por el artículo 19 de la Ley Nº 7202 de 24 de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octubre de 1990)</w:t>
            </w:r>
          </w:p>
          <w:p w:rsidR="005B613D" w:rsidRPr="005B613D" w:rsidRDefault="005B613D" w:rsidP="005B613D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hyperlink r:id="rId16" w:tgtFrame="_top" w:history="1"/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Artículo 13.- </w:t>
            </w:r>
            <w:proofErr w:type="spellStart"/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Autorízase</w:t>
            </w:r>
            <w:proofErr w:type="spellEnd"/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a la Junta para abrir y mantener en el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Sistema Bancario Nacional las cuentas corrientes que considere oportunas,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contra las cuales girarán conjuntamente los dos miembros que designe la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Junta.</w:t>
            </w:r>
          </w:p>
          <w:p w:rsidR="005B613D" w:rsidRPr="005B613D" w:rsidRDefault="005B613D" w:rsidP="005B613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(TACITAMENTE DEROGADO por el artículo 20 de la Ley Nº 7202 de 24 de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octubre de 1990)</w:t>
            </w:r>
          </w:p>
          <w:p w:rsidR="005B613D" w:rsidRPr="005B613D" w:rsidRDefault="005B613D" w:rsidP="005B613D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hyperlink r:id="rId17" w:tgtFrame="_top" w:history="1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rtículo 14.- El Poder Ejecutivo reglamentará el funcionamiento de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la Junta que se crea, en un plazo no mayor de sesenta días.</w:t>
            </w:r>
          </w:p>
          <w:p w:rsidR="005B613D" w:rsidRPr="005B613D" w:rsidRDefault="005B613D" w:rsidP="005B613D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hyperlink r:id="rId18" w:tgtFrame="_top" w:history="1"/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Artículo 15.- Esta ley rige a partir de su publicación y deroga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cualquier disposición legal o reglamentaria que se le oponga.</w:t>
            </w:r>
          </w:p>
          <w:p w:rsidR="005B613D" w:rsidRPr="005B613D" w:rsidRDefault="005B613D" w:rsidP="005B613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Transitorio.- El impuesto establecido en el artículo 7º se cobrará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sobre las fórmulas que entreguen los bancos, a partir de la vigencia de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bookmarkStart w:id="1" w:name="_GoBack"/>
            <w:bookmarkEnd w:id="1"/>
            <w:r w:rsidRPr="005B6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esta ley.</w:t>
            </w:r>
          </w:p>
          <w:p w:rsidR="005B613D" w:rsidRPr="005B613D" w:rsidRDefault="005B613D" w:rsidP="005B61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3D" w:rsidRPr="005B613D" w:rsidRDefault="005B613D" w:rsidP="005B61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</w:tr>
    </w:tbl>
    <w:p w:rsidR="002F17E1" w:rsidRPr="005B613D" w:rsidRDefault="002F17E1" w:rsidP="005B613D">
      <w:pPr>
        <w:jc w:val="both"/>
        <w:rPr>
          <w:rFonts w:ascii="Arial" w:hAnsi="Arial" w:cs="Arial"/>
          <w:sz w:val="24"/>
          <w:szCs w:val="24"/>
        </w:rPr>
      </w:pPr>
    </w:p>
    <w:sectPr w:rsidR="002F17E1" w:rsidRPr="005B61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3D"/>
    <w:rsid w:val="002F17E1"/>
    <w:rsid w:val="005B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B613D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5B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B613D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5B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8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rweb.go.cr/scij/Busqueda/Normativa/Normas/nrm_articulo.aspx?param1=NRA&amp;nValor1=1&amp;nValor2=37372&amp;nValor3=39402&amp;nValor5=167077" TargetMode="External"/><Relationship Id="rId13" Type="http://schemas.openxmlformats.org/officeDocument/2006/relationships/hyperlink" Target="http://www.pgrweb.go.cr/scij/Busqueda/Normativa/Normas/nrm_articulo.aspx?param1=NRA&amp;nValor1=1&amp;nValor2=37372&amp;nValor3=39402&amp;nValor5=167082" TargetMode="External"/><Relationship Id="rId18" Type="http://schemas.openxmlformats.org/officeDocument/2006/relationships/hyperlink" Target="http://www.pgrweb.go.cr/scij/Busqueda/Normativa/Normas/nrm_articulo.aspx?param1=NRA&amp;nValor1=1&amp;nValor2=37372&amp;nValor3=39402&amp;nValor5=16708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grweb.go.cr/scij/Busqueda/Normativa/Normas/nrm_articulo.aspx?param1=NRA&amp;nValor1=1&amp;nValor2=37372&amp;nValor3=39402&amp;nValor5=167076" TargetMode="External"/><Relationship Id="rId12" Type="http://schemas.openxmlformats.org/officeDocument/2006/relationships/hyperlink" Target="http://www.pgrweb.go.cr/scij/Busqueda/Normativa/Normas/nrm_articulo.aspx?param1=NRA&amp;nValor1=1&amp;nValor2=37372&amp;nValor3=39402&amp;nValor5=167081" TargetMode="External"/><Relationship Id="rId17" Type="http://schemas.openxmlformats.org/officeDocument/2006/relationships/hyperlink" Target="http://www.pgrweb.go.cr/scij/Busqueda/Normativa/Normas/nrm_articulo.aspx?param1=NRA&amp;nValor1=1&amp;nValor2=37372&amp;nValor3=39402&amp;nValor5=16708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grweb.go.cr/scij/Busqueda/Normativa/Normas/nrm_articulo.aspx?param1=NRA&amp;nValor1=1&amp;nValor2=37372&amp;nValor3=39402&amp;nValor5=16708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pgrweb.go.cr/scij/Busqueda/Normativa/Normas/nrm_articulo.aspx?param1=NRA&amp;nValor1=1&amp;nValor2=37372&amp;nValor3=39402&amp;nValor5=167074" TargetMode="External"/><Relationship Id="rId11" Type="http://schemas.openxmlformats.org/officeDocument/2006/relationships/hyperlink" Target="http://www.pgrweb.go.cr/scij/Busqueda/Normativa/Normas/nrm_articulo.aspx?param1=NRA&amp;nValor1=1&amp;nValor2=37372&amp;nValor3=39402&amp;nValor5=1670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grweb.go.cr/scij/Busqueda/Normativa/Normas/nrm_articulo.aspx?param1=NRA&amp;nValor1=1&amp;nValor2=37372&amp;nValor3=39402&amp;nValor5=167084" TargetMode="External"/><Relationship Id="rId10" Type="http://schemas.openxmlformats.org/officeDocument/2006/relationships/hyperlink" Target="http://www.pgrweb.go.cr/scij/Busqueda/Normativa/Normas/nrm_articulo.aspx?param1=NRA&amp;nValor1=1&amp;nValor2=37372&amp;nValor3=39402&amp;nValor5=16707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grweb.go.cr/scij/Busqueda/Normativa/Normas/nrm_articulo.aspx?param1=NRA&amp;nValor1=1&amp;nValor2=37372&amp;nValor3=39402&amp;nValor5=167078" TargetMode="External"/><Relationship Id="rId14" Type="http://schemas.openxmlformats.org/officeDocument/2006/relationships/hyperlink" Target="http://www.pgrweb.go.cr/scij/Busqueda/Normativa/Normas/nrm_articulo.aspx?param1=NRA&amp;nValor1=1&amp;nValor2=37372&amp;nValor3=39402&amp;nValor5=16708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33390-67C2-4C54-BB78-8BCF93691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1221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 Calderon Rivera</dc:creator>
  <cp:lastModifiedBy>Marianela Calderon Rivera</cp:lastModifiedBy>
  <cp:revision>1</cp:revision>
  <dcterms:created xsi:type="dcterms:W3CDTF">2015-11-05T20:07:00Z</dcterms:created>
  <dcterms:modified xsi:type="dcterms:W3CDTF">2015-11-05T20:12:00Z</dcterms:modified>
</cp:coreProperties>
</file>