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CCFE5" w14:textId="77777777" w:rsidR="00784E04" w:rsidRPr="00784E04" w:rsidRDefault="00A879F0" w:rsidP="00784E04">
      <w:pPr>
        <w:pStyle w:val="Ttulo1"/>
        <w:spacing w:before="0"/>
        <w:jc w:val="center"/>
        <w:rPr>
          <w:rFonts w:ascii="Arial" w:hAnsi="Arial" w:cs="Arial"/>
          <w:color w:val="auto"/>
          <w:sz w:val="22"/>
          <w:szCs w:val="22"/>
        </w:rPr>
      </w:pPr>
      <w:r w:rsidRPr="00784E04">
        <w:rPr>
          <w:rFonts w:ascii="Arial" w:hAnsi="Arial" w:cs="Arial"/>
          <w:color w:val="auto"/>
          <w:sz w:val="22"/>
          <w:szCs w:val="22"/>
        </w:rPr>
        <w:t>ENTRADA DESCRIPTIVA CON APLICACIÓN DE</w:t>
      </w:r>
    </w:p>
    <w:p w14:paraId="18A0E774" w14:textId="67B84DDC" w:rsidR="00A879F0" w:rsidRPr="00784E04" w:rsidRDefault="00A879F0" w:rsidP="00784E04">
      <w:pPr>
        <w:pStyle w:val="Ttulo1"/>
        <w:spacing w:before="0"/>
        <w:jc w:val="center"/>
        <w:rPr>
          <w:rFonts w:ascii="Arial" w:hAnsi="Arial" w:cs="Arial"/>
          <w:color w:val="auto"/>
          <w:sz w:val="22"/>
          <w:szCs w:val="22"/>
        </w:rPr>
      </w:pPr>
      <w:r w:rsidRPr="00784E04">
        <w:rPr>
          <w:rFonts w:ascii="Arial" w:hAnsi="Arial" w:cs="Arial"/>
          <w:color w:val="auto"/>
          <w:sz w:val="22"/>
          <w:szCs w:val="22"/>
        </w:rPr>
        <w:t>LA NORMA INTERNACIONAL DE DESCRIPCIÓN ISAD (G)</w:t>
      </w:r>
    </w:p>
    <w:p w14:paraId="1E52D85C" w14:textId="6B42F678" w:rsidR="00A879F0" w:rsidRPr="00784E04" w:rsidRDefault="00A879F0" w:rsidP="00784E04">
      <w:pPr>
        <w:pStyle w:val="Ttulo1"/>
        <w:spacing w:before="0"/>
        <w:jc w:val="center"/>
        <w:rPr>
          <w:rFonts w:ascii="Arial" w:hAnsi="Arial" w:cs="Arial"/>
          <w:color w:val="auto"/>
          <w:sz w:val="22"/>
          <w:szCs w:val="22"/>
        </w:rPr>
      </w:pPr>
      <w:r w:rsidRPr="00784E04">
        <w:rPr>
          <w:rFonts w:ascii="Arial" w:hAnsi="Arial" w:cs="Arial"/>
          <w:color w:val="auto"/>
          <w:sz w:val="22"/>
          <w:szCs w:val="22"/>
        </w:rPr>
        <w:t>FONDO: TRIBUNAL SUPREMO DE ELECCIONES</w:t>
      </w:r>
    </w:p>
    <w:p w14:paraId="6FDC1080" w14:textId="77777777" w:rsidR="00A879F0" w:rsidRPr="00A879F0" w:rsidRDefault="00A879F0" w:rsidP="00A879F0">
      <w:pPr>
        <w:jc w:val="both"/>
        <w:rPr>
          <w:rFonts w:cs="Arial"/>
          <w:b/>
          <w:lang w:val="es-ES_tradnl"/>
        </w:rPr>
      </w:pPr>
    </w:p>
    <w:p w14:paraId="6871E3A7" w14:textId="77777777" w:rsidR="00A879F0" w:rsidRPr="00A879F0" w:rsidRDefault="00A879F0" w:rsidP="00A879F0">
      <w:pPr>
        <w:tabs>
          <w:tab w:val="left" w:pos="2685"/>
        </w:tabs>
        <w:jc w:val="both"/>
        <w:rPr>
          <w:rFonts w:cs="Arial"/>
          <w:b/>
          <w:lang w:val="es-ES_tradnl"/>
        </w:rPr>
      </w:pPr>
    </w:p>
    <w:p w14:paraId="74375FE5" w14:textId="77777777" w:rsidR="00A879F0" w:rsidRPr="00A879F0" w:rsidRDefault="00A879F0" w:rsidP="00A879F0">
      <w:pPr>
        <w:pStyle w:val="Encabezadodelatabla"/>
        <w:suppressLineNumbers w:val="0"/>
        <w:jc w:val="both"/>
        <w:rPr>
          <w:rFonts w:ascii="Arial" w:hAnsi="Arial" w:cs="Arial"/>
          <w:bCs w:val="0"/>
          <w:sz w:val="22"/>
          <w:szCs w:val="22"/>
          <w:lang w:val="es-ES_tradnl"/>
        </w:rPr>
      </w:pPr>
      <w:r w:rsidRPr="00A879F0">
        <w:rPr>
          <w:rFonts w:ascii="Arial" w:hAnsi="Arial" w:cs="Arial"/>
          <w:bCs w:val="0"/>
          <w:sz w:val="22"/>
          <w:szCs w:val="22"/>
          <w:lang w:val="es-ES_tradnl"/>
        </w:rPr>
        <w:t>1- ÁREA  DE IDENTIFICACIÓN</w:t>
      </w:r>
    </w:p>
    <w:p w14:paraId="0B66D96B" w14:textId="77777777" w:rsidR="00A879F0" w:rsidRPr="00A879F0" w:rsidRDefault="00A879F0" w:rsidP="00A879F0">
      <w:pPr>
        <w:jc w:val="both"/>
        <w:rPr>
          <w:rFonts w:cs="Arial"/>
          <w:b/>
          <w:bCs/>
          <w:lang w:val="es-ES_tradnl"/>
        </w:rPr>
      </w:pPr>
    </w:p>
    <w:p w14:paraId="03AF8FDA" w14:textId="77777777" w:rsidR="00A879F0" w:rsidRPr="00A879F0" w:rsidRDefault="00A879F0" w:rsidP="00A879F0">
      <w:pPr>
        <w:jc w:val="both"/>
        <w:rPr>
          <w:rFonts w:cs="Arial"/>
          <w:lang w:val="es-ES_tradnl"/>
        </w:rPr>
      </w:pPr>
      <w:r w:rsidRPr="00A879F0">
        <w:rPr>
          <w:rFonts w:cs="Arial"/>
          <w:b/>
          <w:bCs/>
          <w:lang w:val="es-ES_tradnl"/>
        </w:rPr>
        <w:t>1.1 CÓDIGO (S) DE REFERENCIA:</w:t>
      </w:r>
      <w:r w:rsidRPr="00A879F0">
        <w:rPr>
          <w:rFonts w:cs="Arial"/>
          <w:lang w:val="es-ES_tradnl"/>
        </w:rPr>
        <w:t xml:space="preserve"> CR-AN-AH-TSE-000001-000012</w:t>
      </w:r>
    </w:p>
    <w:p w14:paraId="012E5798" w14:textId="77777777" w:rsidR="00A879F0" w:rsidRPr="00A879F0" w:rsidRDefault="00A879F0" w:rsidP="00A879F0">
      <w:pPr>
        <w:jc w:val="both"/>
        <w:rPr>
          <w:rFonts w:cs="Arial"/>
        </w:rPr>
      </w:pPr>
    </w:p>
    <w:p w14:paraId="69E31AF0" w14:textId="77777777" w:rsidR="00A879F0" w:rsidRPr="00A879F0" w:rsidRDefault="00A879F0" w:rsidP="00A879F0">
      <w:pPr>
        <w:jc w:val="both"/>
        <w:rPr>
          <w:rFonts w:cs="Arial"/>
          <w:lang w:val="es-ES_tradnl"/>
        </w:rPr>
      </w:pPr>
      <w:r w:rsidRPr="00A879F0">
        <w:rPr>
          <w:rFonts w:cs="Arial"/>
          <w:b/>
          <w:bCs/>
          <w:lang w:val="es-ES_tradnl"/>
        </w:rPr>
        <w:t>1.2  TÍTULO:</w:t>
      </w:r>
      <w:r w:rsidRPr="00A879F0">
        <w:rPr>
          <w:rFonts w:cs="Arial"/>
          <w:lang w:val="es-ES_tradnl"/>
        </w:rPr>
        <w:t xml:space="preserve"> Tribunal Supremo de Elecciones</w:t>
      </w:r>
    </w:p>
    <w:p w14:paraId="488D5649" w14:textId="77777777" w:rsidR="00A879F0" w:rsidRPr="00A879F0" w:rsidRDefault="00A879F0" w:rsidP="00A879F0">
      <w:pPr>
        <w:jc w:val="both"/>
        <w:rPr>
          <w:rFonts w:cs="Arial"/>
          <w:lang w:val="es-ES_tradnl"/>
        </w:rPr>
      </w:pPr>
    </w:p>
    <w:p w14:paraId="7133FF70" w14:textId="77777777" w:rsidR="00A879F0" w:rsidRPr="00A879F0" w:rsidRDefault="00A879F0" w:rsidP="00A879F0">
      <w:pPr>
        <w:jc w:val="both"/>
        <w:rPr>
          <w:rFonts w:cs="Arial"/>
          <w:lang w:val="es-ES_tradnl"/>
        </w:rPr>
      </w:pPr>
      <w:r w:rsidRPr="00A879F0">
        <w:rPr>
          <w:rFonts w:cs="Arial"/>
          <w:b/>
          <w:bCs/>
          <w:lang w:val="es-ES_tradnl"/>
        </w:rPr>
        <w:t>1.3  FECHA (S):</w:t>
      </w:r>
      <w:r w:rsidRPr="00A879F0">
        <w:rPr>
          <w:rFonts w:cs="Arial"/>
          <w:lang w:val="es-ES_tradnl"/>
        </w:rPr>
        <w:t xml:space="preserve"> 1942-03-16 1985-06-11</w:t>
      </w:r>
    </w:p>
    <w:p w14:paraId="72DB727B" w14:textId="77777777" w:rsidR="00A879F0" w:rsidRPr="00A879F0" w:rsidRDefault="00A879F0" w:rsidP="00A879F0">
      <w:pPr>
        <w:ind w:left="708"/>
        <w:jc w:val="both"/>
        <w:rPr>
          <w:rFonts w:cs="Arial"/>
          <w:lang w:val="es-ES_tradnl"/>
        </w:rPr>
      </w:pPr>
    </w:p>
    <w:p w14:paraId="67C3D031" w14:textId="77777777" w:rsidR="00A879F0" w:rsidRPr="00A879F0" w:rsidRDefault="00A879F0" w:rsidP="00A879F0">
      <w:pPr>
        <w:jc w:val="both"/>
        <w:rPr>
          <w:rFonts w:cs="Arial"/>
          <w:lang w:val="es-ES_tradnl"/>
        </w:rPr>
      </w:pPr>
      <w:r w:rsidRPr="00A879F0">
        <w:rPr>
          <w:rFonts w:cs="Arial"/>
          <w:b/>
          <w:bCs/>
          <w:lang w:val="es-ES_tradnl"/>
        </w:rPr>
        <w:t>1.4  NIVEL DE DESCRIPCIÓN:</w:t>
      </w:r>
      <w:r w:rsidRPr="00A879F0">
        <w:rPr>
          <w:rFonts w:cs="Arial"/>
          <w:lang w:val="es-ES_tradnl"/>
        </w:rPr>
        <w:t xml:space="preserve"> Fondo</w:t>
      </w:r>
    </w:p>
    <w:p w14:paraId="5E16DD36" w14:textId="77777777" w:rsidR="00A879F0" w:rsidRPr="00A879F0" w:rsidRDefault="00A879F0" w:rsidP="00A879F0">
      <w:pPr>
        <w:ind w:left="708"/>
        <w:jc w:val="both"/>
        <w:rPr>
          <w:rFonts w:cs="Arial"/>
          <w:lang w:val="es-ES_tradnl"/>
        </w:rPr>
      </w:pPr>
    </w:p>
    <w:p w14:paraId="2493513C" w14:textId="77777777" w:rsidR="006C3882" w:rsidRDefault="00A879F0" w:rsidP="006C3882">
      <w:pPr>
        <w:tabs>
          <w:tab w:val="left" w:pos="1440"/>
        </w:tabs>
        <w:jc w:val="both"/>
        <w:rPr>
          <w:rFonts w:cs="Arial"/>
          <w:lang w:val="es-ES_tradnl"/>
        </w:rPr>
      </w:pPr>
      <w:r w:rsidRPr="00A879F0">
        <w:rPr>
          <w:rFonts w:cs="Arial"/>
          <w:b/>
          <w:bCs/>
          <w:lang w:val="es-ES_tradnl"/>
        </w:rPr>
        <w:t xml:space="preserve">1.5 VOLUMEN Y SOPORTE DE LA UNIDAD DE DESCRIPCIÓN   (CANTIDAD, TAMAÑO O DIMENSIONES): </w:t>
      </w:r>
      <w:r w:rsidRPr="00A879F0">
        <w:rPr>
          <w:rFonts w:cs="Arial"/>
          <w:lang w:val="es-ES_tradnl"/>
        </w:rPr>
        <w:t>0.14 m (1 caja = 12 documentos textuales).</w:t>
      </w:r>
    </w:p>
    <w:p w14:paraId="168D7463" w14:textId="77777777" w:rsidR="006C3882" w:rsidRDefault="006C3882" w:rsidP="006C3882">
      <w:pPr>
        <w:tabs>
          <w:tab w:val="left" w:pos="1440"/>
        </w:tabs>
        <w:jc w:val="both"/>
        <w:rPr>
          <w:rFonts w:cs="Arial"/>
          <w:lang w:val="es-ES_tradnl"/>
        </w:rPr>
      </w:pPr>
    </w:p>
    <w:p w14:paraId="7BC66E6B" w14:textId="4BB6A62C" w:rsidR="00A879F0" w:rsidRPr="006C3882" w:rsidRDefault="00A879F0" w:rsidP="006C3882">
      <w:pPr>
        <w:tabs>
          <w:tab w:val="left" w:pos="1440"/>
        </w:tabs>
        <w:jc w:val="both"/>
        <w:rPr>
          <w:rFonts w:cs="Arial"/>
          <w:b/>
          <w:lang w:val="es-ES_tradnl"/>
        </w:rPr>
      </w:pPr>
      <w:r w:rsidRPr="006C3882">
        <w:rPr>
          <w:rFonts w:cs="Arial"/>
          <w:b/>
          <w:lang w:val="es-ES_tradnl"/>
        </w:rPr>
        <w:t>2- ÁREA DE CONTEXTO</w:t>
      </w:r>
    </w:p>
    <w:p w14:paraId="0686F962" w14:textId="77777777" w:rsidR="00A879F0" w:rsidRPr="00A879F0" w:rsidRDefault="00A879F0" w:rsidP="00A879F0">
      <w:pPr>
        <w:jc w:val="both"/>
        <w:rPr>
          <w:rFonts w:cs="Arial"/>
          <w:lang w:val="es-ES_tradnl"/>
        </w:rPr>
      </w:pPr>
    </w:p>
    <w:p w14:paraId="0319D77B" w14:textId="77777777" w:rsidR="00A879F0" w:rsidRPr="00A879F0" w:rsidRDefault="00A879F0" w:rsidP="00A879F0">
      <w:pPr>
        <w:jc w:val="both"/>
        <w:rPr>
          <w:rFonts w:cs="Arial"/>
          <w:lang w:val="es-ES_tradnl"/>
        </w:rPr>
      </w:pPr>
      <w:r w:rsidRPr="00A879F0">
        <w:rPr>
          <w:rFonts w:cs="Arial"/>
          <w:b/>
          <w:bCs/>
          <w:lang w:val="es-ES_tradnl"/>
        </w:rPr>
        <w:t>2.1 NOMBRE DEL O DE LOS PRODUCTOR (ES) / COLECCIONISTA (S):</w:t>
      </w:r>
      <w:r w:rsidRPr="00A879F0">
        <w:rPr>
          <w:rFonts w:cs="Arial"/>
          <w:lang w:val="es-ES_tradnl"/>
        </w:rPr>
        <w:t xml:space="preserve"> Tribunal Supremo de Elecciones</w:t>
      </w:r>
    </w:p>
    <w:p w14:paraId="116C49FA" w14:textId="77777777" w:rsidR="00A879F0" w:rsidRPr="00A879F0" w:rsidRDefault="00A879F0" w:rsidP="00A879F0">
      <w:pPr>
        <w:jc w:val="both"/>
        <w:rPr>
          <w:rFonts w:cs="Arial"/>
          <w:lang w:val="es-ES_tradnl"/>
        </w:rPr>
      </w:pPr>
    </w:p>
    <w:p w14:paraId="025EA975" w14:textId="1EA71757" w:rsidR="00A879F0" w:rsidRPr="00A879F0" w:rsidRDefault="00A879F0" w:rsidP="00A879F0">
      <w:pPr>
        <w:tabs>
          <w:tab w:val="left" w:pos="480"/>
          <w:tab w:val="left" w:pos="2655"/>
        </w:tabs>
        <w:jc w:val="both"/>
        <w:rPr>
          <w:rFonts w:cs="Arial"/>
        </w:rPr>
      </w:pPr>
      <w:r w:rsidRPr="00A879F0">
        <w:rPr>
          <w:rFonts w:cs="Arial"/>
          <w:b/>
          <w:bCs/>
          <w:lang w:val="es-ES_tradnl"/>
        </w:rPr>
        <w:t>2.2 HISTORIA INSTITUCIONAL / RESEÑA BIOGRÁFICA</w:t>
      </w:r>
      <w:r w:rsidR="008D3F19" w:rsidRPr="00A879F0">
        <w:rPr>
          <w:rFonts w:cs="Arial"/>
          <w:b/>
          <w:bCs/>
          <w:lang w:val="es-ES_tradnl"/>
        </w:rPr>
        <w:t xml:space="preserve">: </w:t>
      </w:r>
      <w:r w:rsidR="008D3F19" w:rsidRPr="00A879F0">
        <w:rPr>
          <w:rFonts w:cs="Arial"/>
          <w:lang w:val="es-ES_tradnl"/>
        </w:rPr>
        <w:t>Fue</w:t>
      </w:r>
      <w:r w:rsidRPr="00A879F0">
        <w:rPr>
          <w:rFonts w:cs="Arial"/>
        </w:rPr>
        <w:t xml:space="preserve"> con la Constitución de Cádiz de 1812 que el país se organizó electoralmente al realizarse las primeras elecciones en Costa Rica, siendo electo el padre Florencio Del Castillo, quien fue después nuestro representante en las Cortes de Cádiz y que tanta fama le dio a nuestro país y a Centroamérica. En el año 1821 llegó la comunicación de la Independencia, esto permitió que fuera más sencillo incorporarse al primer Estatuto Político llamado “Pacto Social Fundamental Interino o Pacto de Concordia”, de fecha primero de diciembre de mil ochocientos veintiuno.</w:t>
      </w:r>
    </w:p>
    <w:p w14:paraId="0497A960" w14:textId="77777777" w:rsidR="00A879F0" w:rsidRPr="00A879F0" w:rsidRDefault="00A879F0" w:rsidP="00A879F0">
      <w:pPr>
        <w:pStyle w:val="Textoindependiente2"/>
        <w:spacing w:line="240" w:lineRule="auto"/>
        <w:jc w:val="both"/>
        <w:rPr>
          <w:rFonts w:cs="Arial"/>
        </w:rPr>
      </w:pPr>
      <w:r w:rsidRPr="00A879F0">
        <w:rPr>
          <w:rFonts w:cs="Arial"/>
        </w:rPr>
        <w:t>En el primer gobierno del Lic. Ricardo Jiménez Oreamuno, en el año 1913 se estableció el voto directo y en la segunda administración del Lic. Jiménez Oreamuno, se instituyó en 1925 el voto como directo y secreto, además de disponer las elecciones de Presidente y Diputados para el segundo domingo de febrero, disposición que se mantuvo hasta 1948; posteriormente se reformó la Constitución y se fijó para el primer domingo de febrero.</w:t>
      </w:r>
      <w:r w:rsidRPr="00A879F0">
        <w:rPr>
          <w:rFonts w:cs="Arial"/>
        </w:rPr>
        <w:br/>
        <w:t>En la ley de 1925 se creó “El Consejo Nacional de Electores”, primer antecedente de lo que hoy es el Tribunal Supremo de Elecciones. Una característica que tenía esta ley, era que cualquiera de los miembros de este Consejo perdía su cargo si algún candidato o dirigente político era su pariente. Hoy no es así, ya que si aparece algún candidato pariente de uno de los magistrados del Tribunal Supremo de Elecciones, éste tiene que retirarse de la integración de este Organismo, pero no pierde su cargo. También en ese año, el Registro Cívico extiende por primera vez la “cédula personal de sufragio” en forma de boleta (carta de ciudadanía), únicamente para emitir el voto, apareciendo el primer antecedente de la cédula de identidad.</w:t>
      </w:r>
    </w:p>
    <w:p w14:paraId="4949805F" w14:textId="77777777" w:rsidR="00A879F0" w:rsidRPr="00A879F0" w:rsidRDefault="00A879F0" w:rsidP="00A879F0">
      <w:pPr>
        <w:pStyle w:val="Textoindependiente2"/>
        <w:spacing w:line="240" w:lineRule="auto"/>
        <w:jc w:val="both"/>
        <w:rPr>
          <w:rFonts w:cs="Arial"/>
        </w:rPr>
      </w:pPr>
      <w:r w:rsidRPr="00A879F0">
        <w:rPr>
          <w:rFonts w:cs="Arial"/>
        </w:rPr>
        <w:t xml:space="preserve">En el gobierno de Teodoro Picado el 18 de enero de 1946, por medio del decreto número 500 se creó el “Código Electoral”, que es la base del sufragio universal. En un apartado exclusivo del Código Electoral, se cambió el nombre del Consejo Nacional de Electores por el de “Tribunal Nacional Electoral” y estableció que sus integrantes eran nombrados por los tres poderes del Estado. El 14 de setiembre de 1948 por medio del decreto número 171, la Junta Fundadora de </w:t>
      </w:r>
      <w:r w:rsidRPr="00A879F0">
        <w:rPr>
          <w:rFonts w:cs="Arial"/>
        </w:rPr>
        <w:lastRenderedPageBreak/>
        <w:t>la Segunda República acordó que en lo sucesivo el nombre de Tribunal Nacional Electoral será “Tribunal Supremo de Elecciones”, cuyos miembros serán nombrados por la Corte Suprema de Justicia.</w:t>
      </w:r>
    </w:p>
    <w:p w14:paraId="23CEABB3" w14:textId="77777777" w:rsidR="00A879F0" w:rsidRPr="00A879F0" w:rsidRDefault="00A879F0" w:rsidP="00A879F0">
      <w:pPr>
        <w:pStyle w:val="Textoindependiente2"/>
        <w:spacing w:line="240" w:lineRule="auto"/>
        <w:jc w:val="both"/>
        <w:rPr>
          <w:rFonts w:cs="Arial"/>
          <w:lang w:val="es-ES_tradnl"/>
        </w:rPr>
      </w:pPr>
      <w:r w:rsidRPr="00A879F0">
        <w:rPr>
          <w:rFonts w:cs="Arial"/>
        </w:rPr>
        <w:t>La Constitución de 1871 rigió en nuestro país durante un largo período, sin embargo, con la revolución 1948 encabezada por José Figueres Ferrer, se puso fin a dicha constitución; siendo una Asamblea Nacional Constituyente la que va a emitir la actual Constitución Política del 7 de noviembre de 1949, ésta le otorga una gran estabilidad a nuestro sistema democrático al incluir garantías sociales y electorales, una de ellas es otorgar independencia en sus funciones al Tribunal Supremo de Elecciones, en la cual el derecho del sufragio y los organismos electorales van a tener especial importancia. El constituyente de la época, consciente de sus obligaciones buscando garantizar la pureza del sufragio, creó el Tribunal Supremo de Elecciones.</w:t>
      </w:r>
    </w:p>
    <w:p w14:paraId="4A9DAB7F" w14:textId="77777777" w:rsidR="00A879F0" w:rsidRPr="00A879F0" w:rsidRDefault="00A879F0" w:rsidP="00A879F0">
      <w:pPr>
        <w:jc w:val="both"/>
        <w:rPr>
          <w:rFonts w:cs="Arial"/>
        </w:rPr>
      </w:pPr>
    </w:p>
    <w:p w14:paraId="450BD369" w14:textId="51AB30C0" w:rsidR="00A879F0" w:rsidRPr="00A879F0" w:rsidRDefault="00A879F0" w:rsidP="00A879F0">
      <w:pPr>
        <w:jc w:val="both"/>
        <w:rPr>
          <w:rFonts w:cs="Arial"/>
          <w:color w:val="0000FF"/>
          <w:lang w:val="es-ES_tradnl"/>
        </w:rPr>
      </w:pPr>
      <w:r w:rsidRPr="00A879F0">
        <w:rPr>
          <w:rFonts w:cs="Arial"/>
          <w:b/>
          <w:bCs/>
          <w:lang w:val="es-ES_tradnl"/>
        </w:rPr>
        <w:t>2.4 FORMA DE INGRESO:</w:t>
      </w:r>
      <w:r w:rsidRPr="00A879F0">
        <w:rPr>
          <w:rFonts w:cs="Arial"/>
          <w:lang w:val="es-ES_tradnl"/>
        </w:rPr>
        <w:t xml:space="preserve"> Transferencia.</w:t>
      </w:r>
    </w:p>
    <w:p w14:paraId="71BA4F57" w14:textId="77777777" w:rsidR="00A879F0" w:rsidRPr="00A879F0" w:rsidRDefault="00A879F0" w:rsidP="00A879F0">
      <w:pPr>
        <w:pStyle w:val="Encabezadodelatabla"/>
        <w:suppressLineNumbers w:val="0"/>
        <w:jc w:val="both"/>
        <w:rPr>
          <w:rFonts w:ascii="Arial" w:hAnsi="Arial" w:cs="Arial"/>
          <w:b w:val="0"/>
          <w:bCs w:val="0"/>
          <w:color w:val="0000FF"/>
          <w:sz w:val="22"/>
          <w:szCs w:val="22"/>
          <w:lang w:val="es-ES_tradnl"/>
        </w:rPr>
      </w:pPr>
    </w:p>
    <w:p w14:paraId="1382A189" w14:textId="77777777" w:rsidR="00A879F0" w:rsidRPr="00A879F0" w:rsidRDefault="00A879F0" w:rsidP="00A879F0">
      <w:pPr>
        <w:pStyle w:val="Encabezadodelatabla"/>
        <w:suppressLineNumbers w:val="0"/>
        <w:jc w:val="both"/>
        <w:rPr>
          <w:rFonts w:ascii="Arial" w:hAnsi="Arial" w:cs="Arial"/>
          <w:sz w:val="22"/>
          <w:szCs w:val="22"/>
          <w:lang w:val="es-ES_tradnl"/>
        </w:rPr>
      </w:pPr>
      <w:r w:rsidRPr="00A879F0">
        <w:rPr>
          <w:rFonts w:ascii="Arial" w:hAnsi="Arial" w:cs="Arial"/>
          <w:sz w:val="22"/>
          <w:szCs w:val="22"/>
          <w:lang w:val="es-ES_tradnl"/>
        </w:rPr>
        <w:t>3. ÁREA DE CONTENIDO Y ESTRUCTURA</w:t>
      </w:r>
    </w:p>
    <w:p w14:paraId="157BD206" w14:textId="77777777" w:rsidR="00A879F0" w:rsidRPr="00A879F0" w:rsidRDefault="00A879F0" w:rsidP="00A879F0">
      <w:pPr>
        <w:jc w:val="both"/>
        <w:rPr>
          <w:rFonts w:cs="Arial"/>
          <w:lang w:val="es-ES_tradnl"/>
        </w:rPr>
      </w:pPr>
    </w:p>
    <w:p w14:paraId="4A34EE12" w14:textId="77777777" w:rsidR="00A879F0" w:rsidRPr="00A879F0" w:rsidRDefault="00A879F0" w:rsidP="00A879F0">
      <w:pPr>
        <w:ind w:left="-94"/>
        <w:jc w:val="both"/>
        <w:rPr>
          <w:rFonts w:cs="Arial"/>
          <w:i/>
          <w:iCs/>
          <w:color w:val="0000FF"/>
          <w:lang w:val="es-ES_tradnl"/>
        </w:rPr>
      </w:pPr>
      <w:r w:rsidRPr="00A879F0">
        <w:rPr>
          <w:rFonts w:cs="Arial"/>
          <w:b/>
          <w:bCs/>
          <w:lang w:val="es-ES_tradnl"/>
        </w:rPr>
        <w:t xml:space="preserve">3.1 ALCANCE Y CONTENIDO: </w:t>
      </w:r>
      <w:r w:rsidRPr="00A879F0">
        <w:rPr>
          <w:rFonts w:cs="Arial"/>
          <w:lang w:val="es-ES_tradnl"/>
        </w:rPr>
        <w:t>Correspondencia, telegramas, circulares, libros de actas del Consejo Electoral, papeletas para elecciones y listas de electores.</w:t>
      </w:r>
    </w:p>
    <w:p w14:paraId="6B9E03B9" w14:textId="77777777" w:rsidR="00A879F0" w:rsidRPr="00A879F0" w:rsidRDefault="00A879F0" w:rsidP="00A879F0">
      <w:pPr>
        <w:ind w:left="360"/>
        <w:jc w:val="both"/>
        <w:rPr>
          <w:rFonts w:cs="Arial"/>
          <w:lang w:val="es-ES_tradnl"/>
        </w:rPr>
      </w:pPr>
      <w:bookmarkStart w:id="0" w:name="_GoBack"/>
      <w:bookmarkEnd w:id="0"/>
    </w:p>
    <w:p w14:paraId="2801D296" w14:textId="77777777" w:rsidR="00A879F0" w:rsidRPr="00A879F0" w:rsidRDefault="00A879F0" w:rsidP="00A879F0">
      <w:pPr>
        <w:ind w:left="-94"/>
        <w:jc w:val="both"/>
        <w:rPr>
          <w:rFonts w:cs="Arial"/>
          <w:lang w:val="es-ES_tradnl"/>
        </w:rPr>
      </w:pPr>
      <w:r w:rsidRPr="00A879F0">
        <w:rPr>
          <w:rFonts w:cs="Arial"/>
          <w:b/>
          <w:bCs/>
          <w:lang w:val="es-ES_tradnl"/>
        </w:rPr>
        <w:t xml:space="preserve">3.2 VALORACIÓN, SELECCIÓN Y ELIMINACIÓN: </w:t>
      </w:r>
      <w:r w:rsidRPr="00A879F0">
        <w:rPr>
          <w:rFonts w:cs="Arial"/>
          <w:lang w:val="es-ES_tradnl"/>
        </w:rPr>
        <w:t>Valor científico cultural y conservación permanente.</w:t>
      </w:r>
    </w:p>
    <w:p w14:paraId="68F87A10" w14:textId="77777777" w:rsidR="00A879F0" w:rsidRPr="00A879F0" w:rsidRDefault="00A879F0" w:rsidP="00A879F0">
      <w:pPr>
        <w:ind w:left="-170"/>
        <w:jc w:val="both"/>
        <w:rPr>
          <w:rFonts w:cs="Arial"/>
          <w:lang w:val="es-ES_tradnl"/>
        </w:rPr>
      </w:pPr>
    </w:p>
    <w:p w14:paraId="1F6FB326" w14:textId="1DB93A44" w:rsidR="006C3882" w:rsidRDefault="00A879F0" w:rsidP="006C3882">
      <w:pPr>
        <w:ind w:left="-94"/>
        <w:jc w:val="both"/>
        <w:rPr>
          <w:rFonts w:cs="Arial"/>
          <w:lang w:val="es-ES_tradnl"/>
        </w:rPr>
      </w:pPr>
      <w:r w:rsidRPr="00A879F0">
        <w:rPr>
          <w:rFonts w:cs="Arial"/>
          <w:b/>
          <w:bCs/>
          <w:lang w:val="es-ES_tradnl"/>
        </w:rPr>
        <w:t xml:space="preserve">3.3 NUEVOS INGRESOS: </w:t>
      </w:r>
      <w:r w:rsidRPr="00A879F0">
        <w:rPr>
          <w:rFonts w:cs="Arial"/>
          <w:lang w:val="es-ES_tradnl"/>
        </w:rPr>
        <w:t>Fondo abierto.</w:t>
      </w:r>
    </w:p>
    <w:p w14:paraId="65FCFB0C" w14:textId="77777777" w:rsidR="006C3882" w:rsidRPr="00A879F0" w:rsidRDefault="006C3882" w:rsidP="006C3882">
      <w:pPr>
        <w:ind w:left="-94"/>
        <w:jc w:val="both"/>
        <w:rPr>
          <w:rFonts w:cs="Arial"/>
          <w:b/>
          <w:bCs/>
          <w:lang w:val="es-ES_tradnl"/>
        </w:rPr>
      </w:pPr>
    </w:p>
    <w:p w14:paraId="400A9680" w14:textId="3537EBFA" w:rsidR="00A879F0" w:rsidRPr="00A879F0" w:rsidRDefault="00A879F0" w:rsidP="00A879F0">
      <w:pPr>
        <w:tabs>
          <w:tab w:val="left" w:pos="2351"/>
        </w:tabs>
        <w:ind w:left="-94"/>
        <w:jc w:val="both"/>
        <w:rPr>
          <w:rFonts w:cs="Arial"/>
          <w:color w:val="FF0000"/>
          <w:lang w:val="es-ES_tradnl"/>
        </w:rPr>
      </w:pPr>
      <w:r w:rsidRPr="00A879F0">
        <w:rPr>
          <w:rFonts w:cs="Arial"/>
          <w:b/>
          <w:bCs/>
          <w:lang w:val="es-ES_tradnl"/>
        </w:rPr>
        <w:t>3.4 ORGANIZACIÓN:</w:t>
      </w:r>
      <w:r w:rsidRPr="00A879F0">
        <w:rPr>
          <w:rFonts w:cs="Arial"/>
          <w:color w:val="FF0000"/>
          <w:lang w:val="es-ES_tradnl"/>
        </w:rPr>
        <w:t xml:space="preserve"> </w:t>
      </w:r>
    </w:p>
    <w:p w14:paraId="713C76FA" w14:textId="77777777" w:rsidR="00A879F0" w:rsidRPr="00A879F0" w:rsidRDefault="00A879F0" w:rsidP="006C3882">
      <w:pPr>
        <w:tabs>
          <w:tab w:val="left" w:pos="2351"/>
        </w:tabs>
        <w:ind w:left="-94"/>
        <w:jc w:val="center"/>
        <w:rPr>
          <w:rFonts w:cs="Arial"/>
          <w:b/>
          <w:bCs/>
          <w:lang w:val="es-ES_tradnl"/>
        </w:rPr>
      </w:pPr>
    </w:p>
    <w:p w14:paraId="2AA4EFF9" w14:textId="70B46356" w:rsidR="00A879F0" w:rsidRDefault="00A879F0" w:rsidP="006C3882">
      <w:pPr>
        <w:jc w:val="center"/>
        <w:rPr>
          <w:rFonts w:cs="Arial"/>
          <w:b/>
          <w:bCs/>
          <w:lang w:val="es-ES_tradnl"/>
        </w:rPr>
      </w:pPr>
      <w:r w:rsidRPr="00A879F0">
        <w:rPr>
          <w:rFonts w:cs="Arial"/>
          <w:b/>
          <w:bCs/>
          <w:lang w:val="es-ES_tradnl"/>
        </w:rPr>
        <w:t>ORGANISMO ELECTORAL</w:t>
      </w:r>
    </w:p>
    <w:p w14:paraId="5353D114" w14:textId="77777777" w:rsidR="006C3882" w:rsidRPr="00A879F0" w:rsidRDefault="006C3882" w:rsidP="00A879F0">
      <w:pPr>
        <w:jc w:val="both"/>
        <w:rPr>
          <w:rFonts w:cs="Arial"/>
          <w:b/>
        </w:rPr>
      </w:pPr>
    </w:p>
    <w:tbl>
      <w:tblPr>
        <w:tblStyle w:val="Tablaconcuadrcula"/>
        <w:tblW w:w="11340" w:type="dxa"/>
        <w:jc w:val="center"/>
        <w:tblLayout w:type="fixed"/>
        <w:tblLook w:val="04A0" w:firstRow="1" w:lastRow="0" w:firstColumn="1" w:lastColumn="0" w:noHBand="0" w:noVBand="1"/>
        <w:tblCaption w:val="Organización"/>
        <w:tblDescription w:val="Se muestra la organización del fondo en el Cuadro de Clasificación del Archivo Histórico"/>
      </w:tblPr>
      <w:tblGrid>
        <w:gridCol w:w="2268"/>
        <w:gridCol w:w="2268"/>
        <w:gridCol w:w="2268"/>
        <w:gridCol w:w="2408"/>
        <w:gridCol w:w="2128"/>
      </w:tblGrid>
      <w:tr w:rsidR="00A879F0" w:rsidRPr="00A879F0" w14:paraId="218E45DC" w14:textId="77777777" w:rsidTr="00784E04">
        <w:trPr>
          <w:tblHeader/>
          <w:jc w:val="center"/>
        </w:trPr>
        <w:tc>
          <w:tcPr>
            <w:tcW w:w="2269" w:type="dxa"/>
            <w:hideMark/>
          </w:tcPr>
          <w:p w14:paraId="1496F402" w14:textId="77777777" w:rsidR="00A879F0" w:rsidRPr="00A879F0" w:rsidRDefault="00A879F0" w:rsidP="00784E04">
            <w:pPr>
              <w:suppressAutoHyphens/>
              <w:snapToGrid w:val="0"/>
              <w:jc w:val="center"/>
              <w:rPr>
                <w:rFonts w:cs="Arial"/>
                <w:b/>
                <w:color w:val="000000"/>
                <w:lang w:eastAsia="ar-SA"/>
              </w:rPr>
            </w:pPr>
            <w:r w:rsidRPr="00A879F0">
              <w:rPr>
                <w:rFonts w:cs="Arial"/>
                <w:b/>
                <w:color w:val="000000"/>
              </w:rPr>
              <w:t>FONDO NIVEL I</w:t>
            </w:r>
          </w:p>
        </w:tc>
        <w:tc>
          <w:tcPr>
            <w:tcW w:w="2268" w:type="dxa"/>
            <w:hideMark/>
          </w:tcPr>
          <w:p w14:paraId="7E1BAE50" w14:textId="77777777" w:rsidR="00A879F0" w:rsidRPr="00A879F0" w:rsidRDefault="00A879F0" w:rsidP="00784E04">
            <w:pPr>
              <w:suppressAutoHyphens/>
              <w:snapToGrid w:val="0"/>
              <w:jc w:val="center"/>
              <w:rPr>
                <w:rFonts w:cs="Arial"/>
                <w:b/>
                <w:color w:val="000000"/>
                <w:lang w:eastAsia="ar-SA"/>
              </w:rPr>
            </w:pPr>
            <w:r w:rsidRPr="00A879F0">
              <w:rPr>
                <w:rFonts w:cs="Arial"/>
                <w:b/>
                <w:color w:val="000000"/>
              </w:rPr>
              <w:t>FONDO NIVEL II</w:t>
            </w:r>
          </w:p>
        </w:tc>
        <w:tc>
          <w:tcPr>
            <w:tcW w:w="2268" w:type="dxa"/>
            <w:hideMark/>
          </w:tcPr>
          <w:p w14:paraId="06FB3F1B" w14:textId="77777777" w:rsidR="00A879F0" w:rsidRPr="00A879F0" w:rsidRDefault="00A879F0" w:rsidP="00784E04">
            <w:pPr>
              <w:suppressAutoHyphens/>
              <w:snapToGrid w:val="0"/>
              <w:jc w:val="center"/>
              <w:rPr>
                <w:rFonts w:cs="Arial"/>
                <w:b/>
                <w:color w:val="000000"/>
                <w:lang w:eastAsia="ar-SA"/>
              </w:rPr>
            </w:pPr>
            <w:r w:rsidRPr="00A879F0">
              <w:rPr>
                <w:rFonts w:cs="Arial"/>
                <w:b/>
                <w:color w:val="000000"/>
              </w:rPr>
              <w:t>SUBFONDO 1</w:t>
            </w:r>
          </w:p>
        </w:tc>
        <w:tc>
          <w:tcPr>
            <w:tcW w:w="2408" w:type="dxa"/>
            <w:hideMark/>
          </w:tcPr>
          <w:p w14:paraId="6FB0B504" w14:textId="77777777" w:rsidR="00A879F0" w:rsidRPr="00A879F0" w:rsidRDefault="00A879F0" w:rsidP="00784E04">
            <w:pPr>
              <w:suppressAutoHyphens/>
              <w:snapToGrid w:val="0"/>
              <w:jc w:val="center"/>
              <w:rPr>
                <w:rFonts w:cs="Arial"/>
                <w:b/>
                <w:color w:val="000000"/>
                <w:lang w:eastAsia="ar-SA"/>
              </w:rPr>
            </w:pPr>
            <w:r w:rsidRPr="00A879F0">
              <w:rPr>
                <w:rFonts w:cs="Arial"/>
                <w:b/>
                <w:color w:val="000000"/>
              </w:rPr>
              <w:t>SUBFONDO II</w:t>
            </w:r>
          </w:p>
        </w:tc>
        <w:tc>
          <w:tcPr>
            <w:tcW w:w="2128" w:type="dxa"/>
            <w:hideMark/>
          </w:tcPr>
          <w:p w14:paraId="691D3BDC" w14:textId="77777777" w:rsidR="00A879F0" w:rsidRPr="00A879F0" w:rsidRDefault="00A879F0" w:rsidP="00784E04">
            <w:pPr>
              <w:suppressAutoHyphens/>
              <w:snapToGrid w:val="0"/>
              <w:jc w:val="center"/>
              <w:rPr>
                <w:rFonts w:cs="Arial"/>
                <w:b/>
                <w:color w:val="000000"/>
                <w:lang w:eastAsia="ar-SA"/>
              </w:rPr>
            </w:pPr>
            <w:r w:rsidRPr="00A879F0">
              <w:rPr>
                <w:rFonts w:cs="Arial"/>
                <w:b/>
                <w:color w:val="000000"/>
              </w:rPr>
              <w:t>SERIE</w:t>
            </w:r>
          </w:p>
        </w:tc>
      </w:tr>
      <w:tr w:rsidR="00A879F0" w:rsidRPr="00A879F0" w14:paraId="4227D5CB" w14:textId="77777777" w:rsidTr="00784E04">
        <w:trPr>
          <w:jc w:val="center"/>
        </w:trPr>
        <w:tc>
          <w:tcPr>
            <w:tcW w:w="2269" w:type="dxa"/>
            <w:hideMark/>
          </w:tcPr>
          <w:p w14:paraId="6A1AC1B7" w14:textId="77777777" w:rsidR="00A879F0" w:rsidRPr="00A879F0" w:rsidRDefault="00A879F0" w:rsidP="00A879F0">
            <w:pPr>
              <w:suppressAutoHyphens/>
              <w:jc w:val="both"/>
              <w:rPr>
                <w:rFonts w:cs="Arial"/>
                <w:color w:val="000000"/>
                <w:lang w:eastAsia="ar-SA"/>
              </w:rPr>
            </w:pPr>
            <w:r w:rsidRPr="00A879F0">
              <w:rPr>
                <w:rFonts w:cs="Arial"/>
                <w:color w:val="000000"/>
              </w:rPr>
              <w:t>Tribunal Supremo de Elecciones (TSE)</w:t>
            </w:r>
          </w:p>
        </w:tc>
        <w:tc>
          <w:tcPr>
            <w:tcW w:w="2268" w:type="dxa"/>
          </w:tcPr>
          <w:p w14:paraId="1F867D8C" w14:textId="77777777" w:rsidR="00A879F0" w:rsidRPr="00A879F0" w:rsidRDefault="00A879F0" w:rsidP="00A879F0">
            <w:pPr>
              <w:suppressAutoHyphens/>
              <w:jc w:val="both"/>
              <w:rPr>
                <w:rFonts w:cs="Arial"/>
                <w:color w:val="000000"/>
                <w:lang w:eastAsia="ar-SA"/>
              </w:rPr>
            </w:pPr>
          </w:p>
        </w:tc>
        <w:tc>
          <w:tcPr>
            <w:tcW w:w="2268" w:type="dxa"/>
          </w:tcPr>
          <w:p w14:paraId="058B2533" w14:textId="77777777" w:rsidR="00A879F0" w:rsidRPr="00A879F0" w:rsidRDefault="00A879F0" w:rsidP="00A879F0">
            <w:pPr>
              <w:suppressAutoHyphens/>
              <w:jc w:val="both"/>
              <w:rPr>
                <w:rFonts w:cs="Arial"/>
                <w:color w:val="000000"/>
                <w:lang w:eastAsia="ar-SA"/>
              </w:rPr>
            </w:pPr>
          </w:p>
        </w:tc>
        <w:tc>
          <w:tcPr>
            <w:tcW w:w="2408" w:type="dxa"/>
          </w:tcPr>
          <w:p w14:paraId="461ED7FD" w14:textId="77777777" w:rsidR="00A879F0" w:rsidRPr="00A879F0" w:rsidRDefault="00A879F0" w:rsidP="00A879F0">
            <w:pPr>
              <w:suppressAutoHyphens/>
              <w:jc w:val="both"/>
              <w:rPr>
                <w:rFonts w:cs="Arial"/>
                <w:color w:val="000000"/>
                <w:lang w:eastAsia="ar-SA"/>
              </w:rPr>
            </w:pPr>
          </w:p>
        </w:tc>
        <w:tc>
          <w:tcPr>
            <w:tcW w:w="2128" w:type="dxa"/>
          </w:tcPr>
          <w:p w14:paraId="2850E32C" w14:textId="77777777" w:rsidR="00A879F0" w:rsidRPr="00A879F0" w:rsidRDefault="00A879F0" w:rsidP="00A879F0">
            <w:pPr>
              <w:suppressAutoHyphens/>
              <w:jc w:val="both"/>
              <w:rPr>
                <w:rFonts w:cs="Arial"/>
                <w:color w:val="000000"/>
                <w:lang w:eastAsia="ar-SA"/>
              </w:rPr>
            </w:pPr>
          </w:p>
        </w:tc>
      </w:tr>
      <w:tr w:rsidR="00A879F0" w:rsidRPr="00A879F0" w14:paraId="09EC8D9F" w14:textId="77777777" w:rsidTr="00784E04">
        <w:trPr>
          <w:jc w:val="center"/>
        </w:trPr>
        <w:tc>
          <w:tcPr>
            <w:tcW w:w="2269" w:type="dxa"/>
          </w:tcPr>
          <w:p w14:paraId="0D41992D" w14:textId="77777777" w:rsidR="00A879F0" w:rsidRPr="00A879F0" w:rsidRDefault="00A879F0" w:rsidP="00A879F0">
            <w:pPr>
              <w:suppressAutoHyphens/>
              <w:jc w:val="both"/>
              <w:rPr>
                <w:rFonts w:cs="Arial"/>
                <w:color w:val="000000"/>
                <w:lang w:eastAsia="ar-SA"/>
              </w:rPr>
            </w:pPr>
          </w:p>
        </w:tc>
        <w:tc>
          <w:tcPr>
            <w:tcW w:w="2268" w:type="dxa"/>
            <w:hideMark/>
          </w:tcPr>
          <w:p w14:paraId="289E1151" w14:textId="77777777" w:rsidR="00A879F0" w:rsidRPr="00A879F0" w:rsidRDefault="00A879F0" w:rsidP="00A879F0">
            <w:pPr>
              <w:suppressAutoHyphens/>
              <w:jc w:val="both"/>
              <w:rPr>
                <w:rFonts w:cs="Arial"/>
                <w:lang w:eastAsia="ar-SA"/>
              </w:rPr>
            </w:pPr>
            <w:r w:rsidRPr="00A879F0">
              <w:rPr>
                <w:rFonts w:cs="Arial"/>
              </w:rPr>
              <w:t>Dirección General del Registro Civil (DGRC)</w:t>
            </w:r>
          </w:p>
        </w:tc>
        <w:tc>
          <w:tcPr>
            <w:tcW w:w="2268" w:type="dxa"/>
          </w:tcPr>
          <w:p w14:paraId="530B0C38" w14:textId="77777777" w:rsidR="00A879F0" w:rsidRPr="00A879F0" w:rsidRDefault="00A879F0" w:rsidP="00A879F0">
            <w:pPr>
              <w:suppressAutoHyphens/>
              <w:jc w:val="both"/>
              <w:rPr>
                <w:rFonts w:cs="Arial"/>
                <w:color w:val="000000"/>
                <w:lang w:eastAsia="ar-SA"/>
              </w:rPr>
            </w:pPr>
          </w:p>
        </w:tc>
        <w:tc>
          <w:tcPr>
            <w:tcW w:w="2408" w:type="dxa"/>
          </w:tcPr>
          <w:p w14:paraId="69E0983B" w14:textId="77777777" w:rsidR="00A879F0" w:rsidRPr="00A879F0" w:rsidRDefault="00A879F0" w:rsidP="00A879F0">
            <w:pPr>
              <w:pStyle w:val="Default"/>
              <w:autoSpaceDE/>
              <w:jc w:val="both"/>
              <w:rPr>
                <w:rFonts w:ascii="Arial" w:hAnsi="Arial" w:cs="Arial"/>
                <w:lang w:eastAsia="ar-SA"/>
              </w:rPr>
            </w:pPr>
          </w:p>
        </w:tc>
        <w:tc>
          <w:tcPr>
            <w:tcW w:w="2128" w:type="dxa"/>
          </w:tcPr>
          <w:p w14:paraId="683D121B" w14:textId="77777777" w:rsidR="00A879F0" w:rsidRPr="00A879F0" w:rsidRDefault="00A879F0" w:rsidP="00A879F0">
            <w:pPr>
              <w:suppressAutoHyphens/>
              <w:jc w:val="both"/>
              <w:rPr>
                <w:rFonts w:cs="Arial"/>
                <w:color w:val="000000"/>
                <w:lang w:eastAsia="ar-SA"/>
              </w:rPr>
            </w:pPr>
          </w:p>
        </w:tc>
      </w:tr>
    </w:tbl>
    <w:p w14:paraId="5301D13F" w14:textId="77777777" w:rsidR="00A879F0" w:rsidRPr="00A879F0" w:rsidRDefault="00A879F0" w:rsidP="00A879F0">
      <w:pPr>
        <w:jc w:val="both"/>
        <w:rPr>
          <w:rFonts w:cs="Arial"/>
          <w:b/>
          <w:color w:val="0000FF"/>
          <w:lang w:eastAsia="ar-SA"/>
        </w:rPr>
      </w:pPr>
    </w:p>
    <w:p w14:paraId="07C5387B" w14:textId="77777777" w:rsidR="00A879F0" w:rsidRPr="00A879F0" w:rsidRDefault="00A879F0" w:rsidP="00A879F0">
      <w:pPr>
        <w:pStyle w:val="Encabezadodelatabla"/>
        <w:suppressLineNumbers w:val="0"/>
        <w:tabs>
          <w:tab w:val="left" w:pos="2805"/>
        </w:tabs>
        <w:jc w:val="both"/>
        <w:rPr>
          <w:rFonts w:ascii="Arial" w:hAnsi="Arial" w:cs="Arial"/>
          <w:bCs w:val="0"/>
          <w:sz w:val="22"/>
          <w:szCs w:val="22"/>
        </w:rPr>
      </w:pPr>
    </w:p>
    <w:p w14:paraId="34146AF3" w14:textId="1997E5AA" w:rsidR="00A879F0" w:rsidRPr="00A879F0" w:rsidRDefault="00A879F0" w:rsidP="00A879F0">
      <w:pPr>
        <w:pStyle w:val="Encabezadodelatabla"/>
        <w:suppressLineNumbers w:val="0"/>
        <w:tabs>
          <w:tab w:val="left" w:pos="2805"/>
        </w:tabs>
        <w:jc w:val="both"/>
        <w:rPr>
          <w:rFonts w:ascii="Arial" w:hAnsi="Arial" w:cs="Arial"/>
          <w:sz w:val="22"/>
          <w:szCs w:val="22"/>
          <w:lang w:val="es-ES_tradnl"/>
        </w:rPr>
      </w:pPr>
      <w:r w:rsidRPr="00A879F0">
        <w:rPr>
          <w:rFonts w:ascii="Arial" w:hAnsi="Arial" w:cs="Arial"/>
          <w:sz w:val="22"/>
          <w:szCs w:val="22"/>
          <w:lang w:val="es-ES_tradnl"/>
        </w:rPr>
        <w:t xml:space="preserve">4- ÁREA DE CONDICIONES DE ACCESO Y </w:t>
      </w:r>
      <w:proofErr w:type="spellStart"/>
      <w:r w:rsidRPr="00A879F0">
        <w:rPr>
          <w:rFonts w:ascii="Arial" w:hAnsi="Arial" w:cs="Arial"/>
          <w:sz w:val="22"/>
          <w:szCs w:val="22"/>
          <w:lang w:val="es-ES_tradnl"/>
        </w:rPr>
        <w:t>USO</w:t>
      </w:r>
      <w:r w:rsidR="006C3882" w:rsidRPr="006C3882">
        <w:rPr>
          <w:rFonts w:ascii="Arial" w:hAnsi="Arial" w:cs="Arial"/>
          <w:sz w:val="22"/>
          <w:szCs w:val="22"/>
          <w:lang w:val="es-ES_tradnl"/>
        </w:rPr>
        <w:t>Se</w:t>
      </w:r>
      <w:proofErr w:type="spellEnd"/>
      <w:r w:rsidR="006C3882" w:rsidRPr="006C3882">
        <w:rPr>
          <w:rFonts w:ascii="Arial" w:hAnsi="Arial" w:cs="Arial"/>
          <w:sz w:val="22"/>
          <w:szCs w:val="22"/>
          <w:lang w:val="es-ES_tradnl"/>
        </w:rPr>
        <w:t xml:space="preserve"> muestra la organización del fondo en el Cuadro de Clasificación del Archivo Histórico</w:t>
      </w:r>
    </w:p>
    <w:p w14:paraId="0E57C2D3" w14:textId="77777777" w:rsidR="00A879F0" w:rsidRPr="00A879F0" w:rsidRDefault="00A879F0" w:rsidP="00A879F0">
      <w:pPr>
        <w:pStyle w:val="Encabezadodelatabla"/>
        <w:suppressLineNumbers w:val="0"/>
        <w:tabs>
          <w:tab w:val="left" w:pos="1815"/>
        </w:tabs>
        <w:jc w:val="both"/>
        <w:rPr>
          <w:rFonts w:ascii="Arial" w:hAnsi="Arial" w:cs="Arial"/>
          <w:sz w:val="22"/>
          <w:szCs w:val="22"/>
          <w:lang w:val="es-ES_tradnl"/>
        </w:rPr>
      </w:pPr>
    </w:p>
    <w:p w14:paraId="57D9C442" w14:textId="77777777" w:rsidR="00A879F0" w:rsidRPr="00A879F0" w:rsidRDefault="00A879F0" w:rsidP="00A879F0">
      <w:pPr>
        <w:tabs>
          <w:tab w:val="left" w:pos="1965"/>
        </w:tabs>
        <w:jc w:val="both"/>
        <w:rPr>
          <w:rFonts w:cs="Arial"/>
          <w:lang w:val="es-ES_tradnl"/>
        </w:rPr>
      </w:pPr>
      <w:r w:rsidRPr="00A879F0">
        <w:rPr>
          <w:rFonts w:cs="Arial"/>
          <w:b/>
          <w:bCs/>
          <w:lang w:val="es-ES_tradnl"/>
        </w:rPr>
        <w:t xml:space="preserve">4.1 CONDICIONES DE ACCESO: </w:t>
      </w:r>
      <w:r w:rsidRPr="00A879F0">
        <w:rPr>
          <w:rFonts w:cs="Arial"/>
          <w:lang w:val="es-ES_tradnl"/>
        </w:rPr>
        <w:t>Libre</w:t>
      </w:r>
    </w:p>
    <w:p w14:paraId="584B0D3D" w14:textId="77777777" w:rsidR="00A879F0" w:rsidRPr="00A879F0" w:rsidRDefault="00A879F0" w:rsidP="00A879F0">
      <w:pPr>
        <w:pStyle w:val="ndice"/>
        <w:suppressLineNumbers w:val="0"/>
        <w:jc w:val="both"/>
        <w:rPr>
          <w:rFonts w:ascii="Arial" w:hAnsi="Arial" w:cs="Arial"/>
          <w:sz w:val="22"/>
          <w:szCs w:val="22"/>
          <w:lang w:val="es-ES_tradnl"/>
        </w:rPr>
      </w:pPr>
    </w:p>
    <w:p w14:paraId="5247C143" w14:textId="77777777" w:rsidR="00A879F0" w:rsidRPr="00A879F0" w:rsidRDefault="00A879F0" w:rsidP="00A879F0">
      <w:pPr>
        <w:jc w:val="both"/>
        <w:rPr>
          <w:rFonts w:cs="Arial"/>
          <w:lang w:val="es-ES_tradnl"/>
        </w:rPr>
      </w:pPr>
      <w:r w:rsidRPr="00A879F0">
        <w:rPr>
          <w:rFonts w:cs="Arial"/>
          <w:b/>
          <w:bCs/>
          <w:lang w:val="es-ES_tradnl"/>
        </w:rPr>
        <w:t>4.2 CONDICIONES DE REPRODUCCIÓN:</w:t>
      </w:r>
      <w:r w:rsidRPr="00A879F0">
        <w:rPr>
          <w:rFonts w:cs="Arial"/>
          <w:lang w:val="es-ES_tradnl"/>
        </w:rPr>
        <w:t xml:space="preserve"> Mediante fotocopia o fotografía digital de acuerdo con el estado de conservación de los documentos, según resolución dictada por la Dirección General DG-002-2008 del 30 de abril de 2008</w:t>
      </w:r>
    </w:p>
    <w:p w14:paraId="25CE1AF5" w14:textId="77777777" w:rsidR="00A879F0" w:rsidRPr="00A879F0" w:rsidRDefault="00A879F0" w:rsidP="00A879F0">
      <w:pPr>
        <w:jc w:val="both"/>
        <w:rPr>
          <w:rFonts w:cs="Arial"/>
          <w:lang w:val="es-ES_tradnl"/>
        </w:rPr>
      </w:pPr>
    </w:p>
    <w:p w14:paraId="6EECE6E4" w14:textId="7784333C" w:rsidR="00A879F0" w:rsidRPr="00A879F0" w:rsidRDefault="00A879F0" w:rsidP="00A879F0">
      <w:pPr>
        <w:jc w:val="both"/>
        <w:rPr>
          <w:rFonts w:cs="Arial"/>
          <w:lang w:val="es-ES_tradnl"/>
        </w:rPr>
      </w:pPr>
      <w:r w:rsidRPr="00A879F0">
        <w:rPr>
          <w:rFonts w:cs="Arial"/>
          <w:b/>
          <w:bCs/>
          <w:lang w:val="es-ES_tradnl"/>
        </w:rPr>
        <w:t xml:space="preserve">4.3 LENGUA / ESCRITURA (S) DE LOS DOCUMENTOS: </w:t>
      </w:r>
      <w:r w:rsidRPr="00A879F0">
        <w:rPr>
          <w:rFonts w:cs="Arial"/>
          <w:lang w:val="es-ES_tradnl"/>
        </w:rPr>
        <w:t>español</w:t>
      </w:r>
    </w:p>
    <w:p w14:paraId="1162BA62" w14:textId="77777777" w:rsidR="00A879F0" w:rsidRPr="00A879F0" w:rsidRDefault="00A879F0" w:rsidP="00A879F0">
      <w:pPr>
        <w:jc w:val="both"/>
        <w:rPr>
          <w:rFonts w:cs="Arial"/>
          <w:lang w:val="es-ES_tradnl"/>
        </w:rPr>
      </w:pPr>
    </w:p>
    <w:p w14:paraId="1394F754" w14:textId="77777777" w:rsidR="00A879F0" w:rsidRPr="00A879F0" w:rsidRDefault="00A879F0" w:rsidP="00A879F0">
      <w:pPr>
        <w:jc w:val="both"/>
        <w:rPr>
          <w:rFonts w:cs="Arial"/>
          <w:lang w:val="es-ES_tradnl"/>
        </w:rPr>
      </w:pPr>
      <w:r w:rsidRPr="00A879F0">
        <w:rPr>
          <w:rFonts w:cs="Arial"/>
          <w:b/>
          <w:bCs/>
          <w:lang w:val="es-ES_tradnl"/>
        </w:rPr>
        <w:lastRenderedPageBreak/>
        <w:t>4.4 CARACTERÍSTICAS FÍSICAS Y REQUISITOS TÉCNICOS:</w:t>
      </w:r>
      <w:r w:rsidRPr="00A879F0">
        <w:rPr>
          <w:rFonts w:cs="Arial"/>
          <w:lang w:val="es-ES_tradnl"/>
        </w:rPr>
        <w:t xml:space="preserve"> Buen estado de conservación</w:t>
      </w:r>
    </w:p>
    <w:p w14:paraId="54E10E0F" w14:textId="77777777" w:rsidR="00A879F0" w:rsidRPr="00A879F0" w:rsidRDefault="00A879F0" w:rsidP="00A879F0">
      <w:pPr>
        <w:jc w:val="both"/>
        <w:rPr>
          <w:rFonts w:cs="Arial"/>
          <w:lang w:val="es-ES_tradnl"/>
        </w:rPr>
      </w:pPr>
    </w:p>
    <w:p w14:paraId="58E5264C" w14:textId="77777777" w:rsidR="00A879F0" w:rsidRPr="00A879F0" w:rsidRDefault="00A879F0" w:rsidP="00A879F0">
      <w:pPr>
        <w:jc w:val="both"/>
        <w:rPr>
          <w:rFonts w:cs="Arial"/>
          <w:i/>
          <w:iCs/>
          <w:color w:val="0000FF"/>
          <w:lang w:val="es-ES_tradnl"/>
        </w:rPr>
      </w:pPr>
      <w:r w:rsidRPr="00A879F0">
        <w:rPr>
          <w:rFonts w:cs="Arial"/>
          <w:b/>
          <w:bCs/>
          <w:lang w:val="es-ES_tradnl"/>
        </w:rPr>
        <w:t>4.5 INSTRUMENTOS DE DESCRIPCIÓN:</w:t>
      </w:r>
      <w:r w:rsidRPr="00A879F0">
        <w:rPr>
          <w:rFonts w:cs="Arial"/>
          <w:lang w:val="es-ES_tradnl"/>
        </w:rPr>
        <w:t xml:space="preserve"> Base de datos</w:t>
      </w:r>
    </w:p>
    <w:p w14:paraId="69FB0B12" w14:textId="77777777" w:rsidR="00A879F0" w:rsidRPr="00A879F0" w:rsidRDefault="00A879F0" w:rsidP="00A879F0">
      <w:pPr>
        <w:pStyle w:val="ndice"/>
        <w:suppressLineNumbers w:val="0"/>
        <w:tabs>
          <w:tab w:val="left" w:pos="1725"/>
        </w:tabs>
        <w:jc w:val="both"/>
        <w:rPr>
          <w:rFonts w:ascii="Arial" w:hAnsi="Arial" w:cs="Arial"/>
          <w:sz w:val="22"/>
          <w:szCs w:val="22"/>
          <w:lang w:val="es-ES_tradnl"/>
        </w:rPr>
      </w:pPr>
    </w:p>
    <w:p w14:paraId="5EE4AD18" w14:textId="77777777" w:rsidR="00A879F0" w:rsidRPr="00A879F0" w:rsidRDefault="00A879F0" w:rsidP="00A879F0">
      <w:pPr>
        <w:tabs>
          <w:tab w:val="left" w:pos="1782"/>
        </w:tabs>
        <w:ind w:left="57"/>
        <w:jc w:val="both"/>
        <w:rPr>
          <w:rFonts w:cs="Arial"/>
          <w:b/>
          <w:bCs/>
          <w:lang w:val="es-ES_tradnl"/>
        </w:rPr>
      </w:pPr>
      <w:r w:rsidRPr="00A879F0">
        <w:rPr>
          <w:rFonts w:cs="Arial"/>
          <w:b/>
          <w:bCs/>
          <w:lang w:val="es-ES_tradnl"/>
        </w:rPr>
        <w:t>5- ÁREA DE DOCUMENTACIÓN ASOCIADA</w:t>
      </w:r>
    </w:p>
    <w:p w14:paraId="05D15FB8" w14:textId="77777777" w:rsidR="00A879F0" w:rsidRPr="00A879F0" w:rsidRDefault="00A879F0" w:rsidP="00A879F0">
      <w:pPr>
        <w:tabs>
          <w:tab w:val="left" w:pos="2502"/>
        </w:tabs>
        <w:ind w:left="777"/>
        <w:jc w:val="both"/>
        <w:rPr>
          <w:rFonts w:cs="Arial"/>
          <w:b/>
          <w:bCs/>
          <w:lang w:val="es-ES_tradnl"/>
        </w:rPr>
      </w:pPr>
    </w:p>
    <w:p w14:paraId="4C51BBD5" w14:textId="77777777" w:rsidR="00A879F0" w:rsidRPr="00A879F0" w:rsidRDefault="00A879F0" w:rsidP="00A879F0">
      <w:pPr>
        <w:jc w:val="both"/>
        <w:rPr>
          <w:rFonts w:cs="Arial"/>
          <w:lang w:val="es-ES_tradnl"/>
        </w:rPr>
      </w:pPr>
      <w:r w:rsidRPr="00A879F0">
        <w:rPr>
          <w:rFonts w:cs="Arial"/>
          <w:b/>
          <w:bCs/>
          <w:lang w:val="es-ES_tradnl"/>
        </w:rPr>
        <w:t>5.1 EXISTENCIA Y LOCALIZACIÓN DE LOS ORIGINALES:</w:t>
      </w:r>
      <w:r w:rsidRPr="00A879F0">
        <w:rPr>
          <w:rFonts w:cs="Arial"/>
          <w:lang w:val="es-ES_tradnl"/>
        </w:rPr>
        <w:t xml:space="preserve"> En la Dirección General del Archivo Nacional de Costa Rica</w:t>
      </w:r>
    </w:p>
    <w:p w14:paraId="769FB7BD" w14:textId="77777777" w:rsidR="00A879F0" w:rsidRPr="00A879F0" w:rsidRDefault="00A879F0" w:rsidP="00A879F0">
      <w:pPr>
        <w:ind w:left="360"/>
        <w:jc w:val="both"/>
        <w:rPr>
          <w:rFonts w:cs="Arial"/>
          <w:lang w:val="es-ES_tradnl"/>
        </w:rPr>
      </w:pPr>
    </w:p>
    <w:p w14:paraId="6858B3EF" w14:textId="77777777" w:rsidR="00A879F0" w:rsidRPr="00A879F0" w:rsidRDefault="00A879F0" w:rsidP="00A879F0">
      <w:pPr>
        <w:ind w:left="-37"/>
        <w:jc w:val="both"/>
        <w:rPr>
          <w:rFonts w:cs="Arial"/>
          <w:lang w:val="es-ES_tradnl"/>
        </w:rPr>
      </w:pPr>
      <w:r w:rsidRPr="00A879F0">
        <w:rPr>
          <w:rFonts w:cs="Arial"/>
          <w:b/>
          <w:bCs/>
          <w:lang w:val="es-ES_tradnl"/>
        </w:rPr>
        <w:t>5.3 UNIDADES DE DESCRIPCIÓN RELACIONADAS</w:t>
      </w:r>
      <w:proofErr w:type="gramStart"/>
      <w:r w:rsidRPr="00A879F0">
        <w:rPr>
          <w:rFonts w:cs="Arial"/>
          <w:b/>
          <w:bCs/>
          <w:lang w:val="es-ES_tradnl"/>
        </w:rPr>
        <w:t>:</w:t>
      </w:r>
      <w:r w:rsidRPr="00A879F0">
        <w:rPr>
          <w:rFonts w:cs="Arial"/>
          <w:lang w:val="es-ES_tradnl"/>
        </w:rPr>
        <w:t>,</w:t>
      </w:r>
      <w:proofErr w:type="gramEnd"/>
      <w:r w:rsidRPr="00A879F0">
        <w:rPr>
          <w:rFonts w:cs="Arial"/>
          <w:lang w:val="es-ES_tradnl"/>
        </w:rPr>
        <w:t xml:space="preserve"> Hacienda, Presidencia, Ministerio de Cultura, Juventud y Deportes, Afiches, Gobernación, Contraloría General de la República, Economía, Congreso, Archivo Nacional, Municipal, Manuel Mora Valverde, Colecciones de Fotografías y Memorias.</w:t>
      </w:r>
    </w:p>
    <w:p w14:paraId="2DFBD5C8" w14:textId="77777777" w:rsidR="00A879F0" w:rsidRPr="00A879F0" w:rsidRDefault="00A879F0" w:rsidP="00A879F0">
      <w:pPr>
        <w:ind w:left="-37"/>
        <w:jc w:val="both"/>
        <w:rPr>
          <w:rFonts w:cs="Arial"/>
        </w:rPr>
      </w:pPr>
    </w:p>
    <w:p w14:paraId="31451A19" w14:textId="77777777" w:rsidR="00A879F0" w:rsidRPr="00A879F0" w:rsidRDefault="00A879F0" w:rsidP="00A879F0">
      <w:pPr>
        <w:ind w:left="-37"/>
        <w:jc w:val="both"/>
        <w:rPr>
          <w:rFonts w:cs="Arial"/>
          <w:b/>
          <w:bCs/>
        </w:rPr>
      </w:pPr>
      <w:r w:rsidRPr="00A879F0">
        <w:rPr>
          <w:rFonts w:cs="Arial"/>
          <w:b/>
          <w:bCs/>
        </w:rPr>
        <w:t>5.4  NOTAS DE PUBLICACIONES: -</w:t>
      </w:r>
      <w:r w:rsidRPr="00A879F0">
        <w:rPr>
          <w:rFonts w:cs="Arial"/>
        </w:rPr>
        <w:t xml:space="preserve">Dirección General del Archivo Nacional (2000). </w:t>
      </w:r>
      <w:r w:rsidRPr="00A879F0">
        <w:rPr>
          <w:rFonts w:cs="Arial"/>
          <w:i/>
          <w:iCs/>
        </w:rPr>
        <w:t>Exposición Tribunal Supremo de Elecciones: nueva perspectiva hacia el año 2000</w:t>
      </w:r>
      <w:r w:rsidRPr="00A879F0">
        <w:rPr>
          <w:rFonts w:cs="Arial"/>
        </w:rPr>
        <w:t>.</w:t>
      </w:r>
      <w:r w:rsidRPr="00A879F0">
        <w:rPr>
          <w:rFonts w:cs="Arial"/>
          <w:b/>
          <w:bCs/>
        </w:rPr>
        <w:t xml:space="preserve"> </w:t>
      </w:r>
    </w:p>
    <w:p w14:paraId="4306ECA6" w14:textId="77777777" w:rsidR="00A879F0" w:rsidRPr="00A879F0" w:rsidRDefault="00A879F0" w:rsidP="00A879F0">
      <w:pPr>
        <w:pStyle w:val="Encabezadodelatabla"/>
        <w:suppressLineNumbers w:val="0"/>
        <w:tabs>
          <w:tab w:val="left" w:pos="1788"/>
        </w:tabs>
        <w:jc w:val="both"/>
        <w:rPr>
          <w:rFonts w:ascii="Arial" w:hAnsi="Arial" w:cs="Arial"/>
          <w:sz w:val="22"/>
          <w:szCs w:val="22"/>
          <w:lang w:val="es-ES_tradnl"/>
        </w:rPr>
      </w:pPr>
    </w:p>
    <w:p w14:paraId="7BB185A7" w14:textId="77777777" w:rsidR="00A879F0" w:rsidRPr="00A879F0" w:rsidRDefault="00A879F0" w:rsidP="00A879F0">
      <w:pPr>
        <w:pStyle w:val="Encabezadodelatabla"/>
        <w:suppressLineNumbers w:val="0"/>
        <w:tabs>
          <w:tab w:val="left" w:pos="1788"/>
        </w:tabs>
        <w:jc w:val="both"/>
        <w:rPr>
          <w:rFonts w:ascii="Arial" w:hAnsi="Arial" w:cs="Arial"/>
          <w:sz w:val="22"/>
          <w:szCs w:val="22"/>
          <w:lang w:val="es-ES_tradnl"/>
        </w:rPr>
      </w:pPr>
      <w:r w:rsidRPr="00A879F0">
        <w:rPr>
          <w:rFonts w:ascii="Arial" w:hAnsi="Arial" w:cs="Arial"/>
          <w:sz w:val="22"/>
          <w:szCs w:val="22"/>
          <w:lang w:val="es-ES_tradnl"/>
        </w:rPr>
        <w:t>7. ÁREA DE CONTROL DE LA DESCRIPCIÓN</w:t>
      </w:r>
    </w:p>
    <w:p w14:paraId="64614057" w14:textId="77777777" w:rsidR="00A879F0" w:rsidRPr="00A879F0" w:rsidRDefault="00A879F0" w:rsidP="00A879F0">
      <w:pPr>
        <w:jc w:val="both"/>
        <w:rPr>
          <w:rFonts w:cs="Arial"/>
          <w:lang w:val="es-ES_tradnl"/>
        </w:rPr>
      </w:pPr>
    </w:p>
    <w:p w14:paraId="01EE405F" w14:textId="77777777" w:rsidR="00A879F0" w:rsidRPr="00A879F0" w:rsidRDefault="00A879F0" w:rsidP="00A879F0">
      <w:pPr>
        <w:ind w:left="-14"/>
        <w:jc w:val="both"/>
        <w:rPr>
          <w:rFonts w:cs="Arial"/>
          <w:lang w:val="es-ES_tradnl"/>
        </w:rPr>
      </w:pPr>
      <w:r w:rsidRPr="00A879F0">
        <w:rPr>
          <w:rFonts w:cs="Arial"/>
          <w:b/>
          <w:bCs/>
          <w:lang w:val="es-ES_tradnl"/>
        </w:rPr>
        <w:t>7.1</w:t>
      </w:r>
      <w:r w:rsidRPr="00A879F0">
        <w:rPr>
          <w:rFonts w:cs="Arial"/>
          <w:lang w:val="es-ES_tradnl"/>
        </w:rPr>
        <w:t xml:space="preserve"> </w:t>
      </w:r>
      <w:r w:rsidRPr="00A879F0">
        <w:rPr>
          <w:rFonts w:cs="Arial"/>
          <w:b/>
          <w:bCs/>
          <w:lang w:val="es-ES_tradnl"/>
        </w:rPr>
        <w:t>NOTA DEL ARCHIVERO:</w:t>
      </w:r>
      <w:r w:rsidRPr="00A879F0">
        <w:rPr>
          <w:rFonts w:cs="Arial"/>
          <w:lang w:val="es-ES_tradnl"/>
        </w:rPr>
        <w:t xml:space="preserve"> Descripción elaborada por Mariano Sánchez Solano, profesional del Departamento Archivo Histórico</w:t>
      </w:r>
    </w:p>
    <w:p w14:paraId="2C282C2B" w14:textId="77777777" w:rsidR="00A879F0" w:rsidRPr="00A879F0" w:rsidRDefault="00A879F0" w:rsidP="00A879F0">
      <w:pPr>
        <w:ind w:left="-14"/>
        <w:jc w:val="both"/>
        <w:rPr>
          <w:rFonts w:cs="Arial"/>
          <w:lang w:val="es-ES_tradnl"/>
        </w:rPr>
      </w:pPr>
      <w:r w:rsidRPr="00A879F0">
        <w:rPr>
          <w:rFonts w:cs="Arial"/>
          <w:lang w:val="es-ES_tradnl"/>
        </w:rPr>
        <w:t>Fuentes consultadas: Base de datos ARC de la Sala de Consulta del Departamento Archivo Histórico y Registro General de Transferencias del Departamento Servicios Archivísticos Externos.</w:t>
      </w:r>
    </w:p>
    <w:p w14:paraId="1C33352F" w14:textId="77777777" w:rsidR="00A879F0" w:rsidRPr="00A879F0" w:rsidRDefault="00A879F0" w:rsidP="00A879F0">
      <w:pPr>
        <w:jc w:val="both"/>
        <w:rPr>
          <w:rFonts w:cs="Arial"/>
          <w:lang w:val="es-ES_tradnl"/>
        </w:rPr>
      </w:pPr>
    </w:p>
    <w:p w14:paraId="738C0218" w14:textId="77777777" w:rsidR="00A879F0" w:rsidRPr="00A879F0" w:rsidRDefault="00A879F0" w:rsidP="00A879F0">
      <w:pPr>
        <w:tabs>
          <w:tab w:val="left" w:pos="465"/>
        </w:tabs>
        <w:ind w:left="45"/>
        <w:jc w:val="both"/>
        <w:rPr>
          <w:rFonts w:cs="Arial"/>
          <w:i/>
          <w:lang w:val="es-ES_tradnl"/>
        </w:rPr>
      </w:pPr>
      <w:r w:rsidRPr="00A879F0">
        <w:rPr>
          <w:rFonts w:cs="Arial"/>
          <w:b/>
          <w:bCs/>
          <w:lang w:val="es-ES_tradnl"/>
        </w:rPr>
        <w:t>7.2 REGLAS O NORMAS:</w:t>
      </w:r>
      <w:r w:rsidRPr="00A879F0">
        <w:rPr>
          <w:rFonts w:cs="Arial"/>
          <w:lang w:val="es-ES_tradnl"/>
        </w:rPr>
        <w:t xml:space="preserve"> Dirección General del Archivo Nacional (2011). </w:t>
      </w:r>
      <w:r w:rsidRPr="00A879F0">
        <w:rPr>
          <w:rFonts w:cs="Arial"/>
          <w:i/>
          <w:lang w:val="es-ES_tradnl"/>
        </w:rPr>
        <w:t>Aplicación de la Norma Internacional de Descripción ISAD (G) en el Archivo Nacional</w:t>
      </w:r>
    </w:p>
    <w:p w14:paraId="5D39517F" w14:textId="77777777" w:rsidR="00A879F0" w:rsidRPr="00A879F0" w:rsidRDefault="00A879F0" w:rsidP="00A879F0">
      <w:pPr>
        <w:ind w:left="-113"/>
        <w:jc w:val="both"/>
        <w:rPr>
          <w:rFonts w:cs="Arial"/>
          <w:lang w:val="es-ES_tradnl"/>
        </w:rPr>
      </w:pPr>
    </w:p>
    <w:p w14:paraId="7AF85BDC" w14:textId="77777777" w:rsidR="00A879F0" w:rsidRPr="00A879F0" w:rsidRDefault="00A879F0" w:rsidP="00A879F0">
      <w:pPr>
        <w:ind w:left="-113"/>
        <w:jc w:val="both"/>
        <w:rPr>
          <w:rFonts w:cs="Arial"/>
          <w:lang w:val="es-ES_tradnl"/>
        </w:rPr>
      </w:pPr>
    </w:p>
    <w:p w14:paraId="336805C1" w14:textId="3D64AFE2" w:rsidR="006F774B" w:rsidRPr="00A879F0" w:rsidRDefault="00A879F0" w:rsidP="00A879F0">
      <w:pPr>
        <w:jc w:val="both"/>
        <w:rPr>
          <w:rFonts w:cs="Arial"/>
        </w:rPr>
      </w:pPr>
      <w:r w:rsidRPr="00A879F0">
        <w:rPr>
          <w:rFonts w:cs="Arial"/>
          <w:b/>
          <w:bCs/>
          <w:lang w:val="es-ES_tradnl"/>
        </w:rPr>
        <w:t>7.3</w:t>
      </w:r>
      <w:r w:rsidRPr="00A879F0">
        <w:rPr>
          <w:rFonts w:cs="Arial"/>
          <w:lang w:val="es-ES_tradnl"/>
        </w:rPr>
        <w:t xml:space="preserve"> </w:t>
      </w:r>
      <w:r w:rsidRPr="00A879F0">
        <w:rPr>
          <w:rFonts w:cs="Arial"/>
          <w:b/>
          <w:bCs/>
          <w:lang w:val="es-ES_tradnl"/>
        </w:rPr>
        <w:t>FECHA (S) DE LA (S) DESCRIPCIÓN (ES):</w:t>
      </w:r>
      <w:r w:rsidRPr="00A879F0">
        <w:rPr>
          <w:rFonts w:cs="Arial"/>
          <w:lang w:val="es-ES_tradnl"/>
        </w:rPr>
        <w:t xml:space="preserve"> 2013-03. </w:t>
      </w:r>
      <w:r w:rsidRPr="00A879F0">
        <w:rPr>
          <w:rStyle w:val="Textoennegrita"/>
          <w:rFonts w:cs="Arial"/>
          <w:b w:val="0"/>
          <w:lang w:val="es-ES"/>
        </w:rPr>
        <w:t>Revisada y aprobada por la Comisión de Descripción del Archivo Nacional, sesión 03-2013 de 2013-03-19</w:t>
      </w:r>
    </w:p>
    <w:p w14:paraId="7DA969CE" w14:textId="77777777" w:rsidR="00A879F0" w:rsidRPr="00A879F0" w:rsidRDefault="00A879F0">
      <w:pPr>
        <w:jc w:val="both"/>
        <w:rPr>
          <w:rFonts w:cs="Arial"/>
        </w:rPr>
      </w:pPr>
    </w:p>
    <w:sectPr w:rsidR="00A879F0" w:rsidRPr="00A879F0"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1A8F1" w14:textId="77777777" w:rsidR="00A25971" w:rsidRDefault="00A25971" w:rsidP="00602906">
      <w:r>
        <w:separator/>
      </w:r>
    </w:p>
  </w:endnote>
  <w:endnote w:type="continuationSeparator" w:id="0">
    <w:p w14:paraId="1FE60B7F" w14:textId="77777777" w:rsidR="00A25971" w:rsidRDefault="00A25971"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95E9F7A"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677B1" w14:textId="77777777" w:rsidR="00A25971" w:rsidRDefault="00A25971" w:rsidP="00602906">
      <w:r>
        <w:separator/>
      </w:r>
    </w:p>
  </w:footnote>
  <w:footnote w:type="continuationSeparator" w:id="0">
    <w:p w14:paraId="58B8D690" w14:textId="77777777" w:rsidR="00A25971" w:rsidRDefault="00A25971"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4">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7">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9">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1">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3">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24">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5">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6">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7">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8">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3">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36">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7">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9">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1">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3">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4">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9"/>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A2019"/>
    <w:rsid w:val="000A2A06"/>
    <w:rsid w:val="000B37FA"/>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F027B"/>
    <w:rsid w:val="003102DA"/>
    <w:rsid w:val="0034671D"/>
    <w:rsid w:val="003702DE"/>
    <w:rsid w:val="003755B0"/>
    <w:rsid w:val="003A2B54"/>
    <w:rsid w:val="003A36DF"/>
    <w:rsid w:val="003B7978"/>
    <w:rsid w:val="00443518"/>
    <w:rsid w:val="0044569D"/>
    <w:rsid w:val="004E529F"/>
    <w:rsid w:val="004F2571"/>
    <w:rsid w:val="00502F9E"/>
    <w:rsid w:val="00521B59"/>
    <w:rsid w:val="00521D9D"/>
    <w:rsid w:val="00550F08"/>
    <w:rsid w:val="00586D5F"/>
    <w:rsid w:val="005912B6"/>
    <w:rsid w:val="005A6B82"/>
    <w:rsid w:val="005D3C7E"/>
    <w:rsid w:val="005D64E9"/>
    <w:rsid w:val="00602906"/>
    <w:rsid w:val="00612975"/>
    <w:rsid w:val="00623592"/>
    <w:rsid w:val="0062472C"/>
    <w:rsid w:val="006C3882"/>
    <w:rsid w:val="006E7965"/>
    <w:rsid w:val="006F774B"/>
    <w:rsid w:val="007211E4"/>
    <w:rsid w:val="007268F8"/>
    <w:rsid w:val="007647D9"/>
    <w:rsid w:val="00784E04"/>
    <w:rsid w:val="007A32FA"/>
    <w:rsid w:val="007B4427"/>
    <w:rsid w:val="007D29AE"/>
    <w:rsid w:val="00833FB5"/>
    <w:rsid w:val="00836E21"/>
    <w:rsid w:val="00864018"/>
    <w:rsid w:val="008D3F19"/>
    <w:rsid w:val="00902AEE"/>
    <w:rsid w:val="009136A0"/>
    <w:rsid w:val="009337A7"/>
    <w:rsid w:val="0096318C"/>
    <w:rsid w:val="009A0613"/>
    <w:rsid w:val="009B1D8F"/>
    <w:rsid w:val="009C4662"/>
    <w:rsid w:val="009D7720"/>
    <w:rsid w:val="009E138F"/>
    <w:rsid w:val="009F3A23"/>
    <w:rsid w:val="00A074ED"/>
    <w:rsid w:val="00A07EF0"/>
    <w:rsid w:val="00A1635C"/>
    <w:rsid w:val="00A16404"/>
    <w:rsid w:val="00A25971"/>
    <w:rsid w:val="00A6609B"/>
    <w:rsid w:val="00A756C1"/>
    <w:rsid w:val="00A822A2"/>
    <w:rsid w:val="00A85F1F"/>
    <w:rsid w:val="00A879F0"/>
    <w:rsid w:val="00AB2438"/>
    <w:rsid w:val="00AB351E"/>
    <w:rsid w:val="00AC42E2"/>
    <w:rsid w:val="00AF215D"/>
    <w:rsid w:val="00AF5E02"/>
    <w:rsid w:val="00B26D3D"/>
    <w:rsid w:val="00B30829"/>
    <w:rsid w:val="00B53DCB"/>
    <w:rsid w:val="00BB06DB"/>
    <w:rsid w:val="00BC5DEC"/>
    <w:rsid w:val="00BF638B"/>
    <w:rsid w:val="00C11C07"/>
    <w:rsid w:val="00C160EC"/>
    <w:rsid w:val="00C20E61"/>
    <w:rsid w:val="00C5626A"/>
    <w:rsid w:val="00C76A29"/>
    <w:rsid w:val="00C83FC6"/>
    <w:rsid w:val="00C850AA"/>
    <w:rsid w:val="00D407F6"/>
    <w:rsid w:val="00D638A1"/>
    <w:rsid w:val="00DA50CF"/>
    <w:rsid w:val="00DC12F6"/>
    <w:rsid w:val="00DD17D2"/>
    <w:rsid w:val="00DF48E5"/>
    <w:rsid w:val="00E02D41"/>
    <w:rsid w:val="00E05D8E"/>
    <w:rsid w:val="00E20D28"/>
    <w:rsid w:val="00E33250"/>
    <w:rsid w:val="00E4347A"/>
    <w:rsid w:val="00E677E3"/>
    <w:rsid w:val="00E735AD"/>
    <w:rsid w:val="00E856B3"/>
    <w:rsid w:val="00EB0669"/>
    <w:rsid w:val="00EB7CFB"/>
    <w:rsid w:val="00EB7EF7"/>
    <w:rsid w:val="00F2227A"/>
    <w:rsid w:val="00F34B87"/>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2201-FD09-4BD2-9A3E-CF3092C5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2017-04-17T18:33:00Z</dcterms:created>
  <dcterms:modified xsi:type="dcterms:W3CDTF">2017-04-19T16:01:00Z</dcterms:modified>
</cp:coreProperties>
</file>