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B33C" w14:textId="77777777" w:rsidR="00A12259" w:rsidRDefault="006F774B" w:rsidP="00A12259">
      <w:pPr>
        <w:pStyle w:val="Ttulo1"/>
        <w:spacing w:before="0"/>
        <w:jc w:val="center"/>
        <w:rPr>
          <w:rFonts w:ascii="Arial" w:hAnsi="Arial" w:cs="Arial"/>
          <w:color w:val="auto"/>
          <w:sz w:val="22"/>
          <w:szCs w:val="22"/>
        </w:rPr>
      </w:pPr>
      <w:r w:rsidRPr="00A12259">
        <w:rPr>
          <w:rFonts w:ascii="Arial" w:hAnsi="Arial" w:cs="Arial"/>
          <w:color w:val="auto"/>
          <w:sz w:val="22"/>
          <w:szCs w:val="22"/>
        </w:rPr>
        <w:t xml:space="preserve">ENTRADA DESCRIPTIVA CON LA APLICACIÓN </w:t>
      </w:r>
    </w:p>
    <w:p w14:paraId="00280AFB" w14:textId="75139C7A" w:rsidR="006F774B" w:rsidRPr="00A12259" w:rsidRDefault="006F774B" w:rsidP="00A12259">
      <w:pPr>
        <w:pStyle w:val="Ttulo1"/>
        <w:spacing w:before="0"/>
        <w:jc w:val="center"/>
        <w:rPr>
          <w:rFonts w:ascii="Arial" w:hAnsi="Arial" w:cs="Arial"/>
          <w:color w:val="auto"/>
          <w:sz w:val="22"/>
          <w:szCs w:val="22"/>
        </w:rPr>
      </w:pPr>
      <w:r w:rsidRPr="00A12259">
        <w:rPr>
          <w:rFonts w:ascii="Arial" w:hAnsi="Arial" w:cs="Arial"/>
          <w:color w:val="auto"/>
          <w:sz w:val="22"/>
          <w:szCs w:val="22"/>
        </w:rPr>
        <w:t>DE LA NORMA</w:t>
      </w:r>
      <w:r w:rsidR="00A12259">
        <w:rPr>
          <w:rFonts w:ascii="Arial" w:hAnsi="Arial" w:cs="Arial"/>
          <w:color w:val="auto"/>
          <w:sz w:val="22"/>
          <w:szCs w:val="22"/>
        </w:rPr>
        <w:t xml:space="preserve"> </w:t>
      </w:r>
      <w:r w:rsidRPr="00A12259">
        <w:rPr>
          <w:rFonts w:ascii="Arial" w:hAnsi="Arial" w:cs="Arial"/>
          <w:color w:val="auto"/>
          <w:sz w:val="22"/>
          <w:szCs w:val="22"/>
        </w:rPr>
        <w:t>INTERNACIONAL ISAD (G)</w:t>
      </w:r>
    </w:p>
    <w:p w14:paraId="1B39F61C" w14:textId="4C32283B" w:rsidR="006F774B" w:rsidRPr="00A12259" w:rsidRDefault="006F774B" w:rsidP="00A12259">
      <w:pPr>
        <w:pStyle w:val="Ttulo1"/>
        <w:spacing w:before="0"/>
        <w:jc w:val="center"/>
        <w:rPr>
          <w:rFonts w:ascii="Arial" w:hAnsi="Arial" w:cs="Arial"/>
          <w:color w:val="auto"/>
          <w:sz w:val="22"/>
          <w:szCs w:val="22"/>
        </w:rPr>
      </w:pPr>
      <w:r w:rsidRPr="00A12259">
        <w:rPr>
          <w:rFonts w:ascii="Arial" w:hAnsi="Arial" w:cs="Arial"/>
          <w:color w:val="auto"/>
          <w:sz w:val="22"/>
          <w:szCs w:val="22"/>
        </w:rPr>
        <w:t>SUBFONDO: TRIBUNAL DE PROBIDAD ADMINISTRATIVA</w:t>
      </w:r>
    </w:p>
    <w:p w14:paraId="19A3491F" w14:textId="77777777" w:rsidR="006F774B" w:rsidRPr="006F774B" w:rsidRDefault="006F774B" w:rsidP="006F774B">
      <w:pPr>
        <w:pStyle w:val="Textoindependiente"/>
        <w:jc w:val="both"/>
        <w:rPr>
          <w:rFonts w:ascii="Arial" w:hAnsi="Arial" w:cs="Arial"/>
          <w:b/>
          <w:bCs/>
          <w:sz w:val="22"/>
          <w:szCs w:val="22"/>
        </w:rPr>
      </w:pPr>
    </w:p>
    <w:p w14:paraId="2838EDEC" w14:textId="77777777" w:rsidR="006F774B" w:rsidRPr="006F774B" w:rsidRDefault="006F774B" w:rsidP="006F774B">
      <w:pPr>
        <w:pStyle w:val="Textoindependiente"/>
        <w:jc w:val="both"/>
        <w:rPr>
          <w:rFonts w:ascii="Arial" w:hAnsi="Arial" w:cs="Arial"/>
          <w:b/>
          <w:bCs/>
          <w:sz w:val="22"/>
          <w:szCs w:val="22"/>
        </w:rPr>
      </w:pPr>
    </w:p>
    <w:p w14:paraId="2B0C5166" w14:textId="77777777" w:rsidR="006F774B" w:rsidRPr="006F774B" w:rsidRDefault="006F774B" w:rsidP="006F774B">
      <w:pPr>
        <w:pStyle w:val="Style3"/>
        <w:tabs>
          <w:tab w:val="center" w:pos="4770"/>
          <w:tab w:val="left" w:pos="6780"/>
        </w:tabs>
        <w:adjustRightInd/>
        <w:jc w:val="both"/>
        <w:rPr>
          <w:rFonts w:ascii="Arial" w:hAnsi="Arial" w:cs="Arial"/>
          <w:b/>
          <w:bCs/>
          <w:sz w:val="22"/>
          <w:szCs w:val="22"/>
          <w:lang w:val="es-ES_tradnl"/>
        </w:rPr>
      </w:pPr>
      <w:r w:rsidRPr="006F774B">
        <w:rPr>
          <w:rFonts w:ascii="Arial" w:hAnsi="Arial" w:cs="Arial"/>
          <w:b/>
          <w:bCs/>
          <w:sz w:val="22"/>
          <w:szCs w:val="22"/>
          <w:lang w:val="es-ES_tradnl"/>
        </w:rPr>
        <w:t>1. ÁREA DE IDENTIFICACIÓN</w:t>
      </w:r>
    </w:p>
    <w:p w14:paraId="129B87A8" w14:textId="77777777" w:rsidR="006F774B" w:rsidRPr="006F774B" w:rsidRDefault="006F774B" w:rsidP="006F774B">
      <w:pPr>
        <w:pStyle w:val="Style3"/>
        <w:tabs>
          <w:tab w:val="center" w:pos="4770"/>
          <w:tab w:val="left" w:pos="6780"/>
        </w:tabs>
        <w:adjustRightInd/>
        <w:ind w:left="1080"/>
        <w:jc w:val="both"/>
        <w:rPr>
          <w:rFonts w:ascii="Arial" w:hAnsi="Arial" w:cs="Arial"/>
          <w:b/>
          <w:sz w:val="22"/>
          <w:szCs w:val="22"/>
          <w:lang w:val="es-ES_tradnl"/>
        </w:rPr>
      </w:pPr>
    </w:p>
    <w:p w14:paraId="73AFE416" w14:textId="77777777" w:rsidR="006F774B" w:rsidRPr="006F774B" w:rsidRDefault="006F774B" w:rsidP="006F774B">
      <w:pPr>
        <w:numPr>
          <w:ilvl w:val="1"/>
          <w:numId w:val="34"/>
        </w:numPr>
        <w:ind w:left="426" w:hanging="426"/>
        <w:jc w:val="both"/>
        <w:rPr>
          <w:rFonts w:cs="Arial"/>
          <w:color w:val="000000"/>
          <w:lang w:val="pt-BR"/>
        </w:rPr>
      </w:pPr>
      <w:r w:rsidRPr="006F774B">
        <w:rPr>
          <w:rFonts w:cs="Arial"/>
          <w:b/>
          <w:lang w:val="es-ES_tradnl"/>
        </w:rPr>
        <w:t>CÓDIGO DE REFERENCIA</w:t>
      </w:r>
      <w:r w:rsidRPr="006F774B">
        <w:rPr>
          <w:rFonts w:cs="Arial"/>
          <w:lang w:val="es-ES_tradnl"/>
        </w:rPr>
        <w:t xml:space="preserve">: </w:t>
      </w:r>
      <w:r w:rsidRPr="006F774B">
        <w:rPr>
          <w:rFonts w:cs="Arial"/>
        </w:rPr>
        <w:t>CR-AN-AH-PREP-TRIPRO-EXPR1662-000001-000426</w:t>
      </w:r>
    </w:p>
    <w:p w14:paraId="3DCE18B4" w14:textId="77777777" w:rsidR="006F774B" w:rsidRPr="006F774B" w:rsidRDefault="006F774B" w:rsidP="006F774B">
      <w:pPr>
        <w:pStyle w:val="Style3"/>
        <w:tabs>
          <w:tab w:val="center" w:pos="4770"/>
          <w:tab w:val="left" w:pos="6780"/>
        </w:tabs>
        <w:adjustRightInd/>
        <w:jc w:val="both"/>
        <w:rPr>
          <w:rFonts w:ascii="Arial" w:hAnsi="Arial" w:cs="Arial"/>
          <w:b/>
          <w:sz w:val="22"/>
          <w:szCs w:val="22"/>
          <w:lang w:val="es-ES_tradnl"/>
        </w:rPr>
      </w:pPr>
    </w:p>
    <w:p w14:paraId="26967CD8" w14:textId="77777777" w:rsidR="006F774B" w:rsidRPr="006F774B" w:rsidRDefault="006F774B" w:rsidP="006F774B">
      <w:pPr>
        <w:numPr>
          <w:ilvl w:val="1"/>
          <w:numId w:val="35"/>
        </w:numPr>
        <w:ind w:left="426" w:hanging="426"/>
        <w:jc w:val="both"/>
        <w:rPr>
          <w:rFonts w:cs="Arial"/>
          <w:lang w:val="es-ES_tradnl"/>
        </w:rPr>
      </w:pPr>
      <w:r w:rsidRPr="006F774B">
        <w:rPr>
          <w:rFonts w:cs="Arial"/>
          <w:b/>
          <w:lang w:val="es-ES_tradnl"/>
        </w:rPr>
        <w:t>TÍTULO</w:t>
      </w:r>
      <w:r w:rsidRPr="006F774B">
        <w:rPr>
          <w:rFonts w:cs="Arial"/>
          <w:lang w:val="es-ES_tradnl"/>
        </w:rPr>
        <w:t xml:space="preserve">: </w:t>
      </w:r>
      <w:r w:rsidRPr="006F774B">
        <w:rPr>
          <w:rFonts w:cs="Arial"/>
        </w:rPr>
        <w:t>Tribunal de Probidad Administrativa</w:t>
      </w:r>
    </w:p>
    <w:p w14:paraId="764040EF" w14:textId="77777777" w:rsidR="006F774B" w:rsidRPr="006F774B" w:rsidRDefault="006F774B" w:rsidP="006F774B">
      <w:pPr>
        <w:ind w:left="426" w:hanging="426"/>
        <w:jc w:val="both"/>
        <w:rPr>
          <w:rFonts w:cs="Arial"/>
          <w:lang w:val="es-ES_tradnl"/>
        </w:rPr>
      </w:pPr>
    </w:p>
    <w:p w14:paraId="1A080232" w14:textId="77777777" w:rsidR="006F774B" w:rsidRPr="006F774B" w:rsidRDefault="006F774B" w:rsidP="006F774B">
      <w:pPr>
        <w:numPr>
          <w:ilvl w:val="1"/>
          <w:numId w:val="35"/>
        </w:numPr>
        <w:ind w:left="426" w:hanging="426"/>
        <w:jc w:val="both"/>
        <w:rPr>
          <w:rFonts w:cs="Arial"/>
          <w:lang w:val="es-ES_tradnl"/>
        </w:rPr>
      </w:pPr>
      <w:r w:rsidRPr="006F774B">
        <w:rPr>
          <w:rFonts w:cs="Arial"/>
          <w:b/>
          <w:lang w:val="es-ES_tradnl"/>
        </w:rPr>
        <w:t>FECHA</w:t>
      </w:r>
      <w:r w:rsidRPr="006F774B">
        <w:rPr>
          <w:rFonts w:cs="Arial"/>
          <w:lang w:val="es-ES_tradnl"/>
        </w:rPr>
        <w:t xml:space="preserve"> </w:t>
      </w:r>
      <w:r w:rsidRPr="006F774B">
        <w:rPr>
          <w:rFonts w:cs="Arial"/>
          <w:b/>
          <w:lang w:val="es-ES_tradnl"/>
        </w:rPr>
        <w:t>(S):</w:t>
      </w:r>
      <w:r w:rsidRPr="006F774B">
        <w:rPr>
          <w:rFonts w:cs="Arial"/>
          <w:lang w:val="es-ES_tradnl"/>
        </w:rPr>
        <w:t xml:space="preserve"> </w:t>
      </w:r>
      <w:r w:rsidRPr="006F774B">
        <w:rPr>
          <w:rFonts w:cs="Arial"/>
        </w:rPr>
        <w:t>1948 1949</w:t>
      </w:r>
    </w:p>
    <w:p w14:paraId="4048E4E6" w14:textId="77777777" w:rsidR="006F774B" w:rsidRPr="006F774B" w:rsidRDefault="006F774B" w:rsidP="006F774B">
      <w:pPr>
        <w:ind w:left="426" w:hanging="426"/>
        <w:jc w:val="both"/>
        <w:rPr>
          <w:rFonts w:cs="Arial"/>
          <w:b/>
          <w:lang w:val="es-ES_tradnl"/>
        </w:rPr>
      </w:pPr>
    </w:p>
    <w:p w14:paraId="47820FE4" w14:textId="77777777" w:rsidR="006F774B" w:rsidRPr="006F774B" w:rsidRDefault="006F774B" w:rsidP="006F774B">
      <w:pPr>
        <w:numPr>
          <w:ilvl w:val="1"/>
          <w:numId w:val="35"/>
        </w:numPr>
        <w:ind w:left="426" w:hanging="426"/>
        <w:jc w:val="both"/>
        <w:rPr>
          <w:rFonts w:cs="Arial"/>
          <w:lang w:val="es-ES_tradnl"/>
        </w:rPr>
      </w:pPr>
      <w:r w:rsidRPr="006F774B">
        <w:rPr>
          <w:rFonts w:cs="Arial"/>
          <w:b/>
          <w:lang w:val="es-ES_tradnl"/>
        </w:rPr>
        <w:t>NIVEL DE DESCRIPCIÓN:</w:t>
      </w:r>
      <w:r w:rsidRPr="006F774B">
        <w:rPr>
          <w:rFonts w:cs="Arial"/>
          <w:lang w:val="es-ES_tradnl"/>
        </w:rPr>
        <w:t xml:space="preserve"> </w:t>
      </w:r>
      <w:r w:rsidRPr="006F774B">
        <w:rPr>
          <w:rFonts w:cs="Arial"/>
        </w:rPr>
        <w:t>Subfondo.</w:t>
      </w:r>
    </w:p>
    <w:p w14:paraId="63A86A7A" w14:textId="77777777" w:rsidR="006F774B" w:rsidRPr="006F774B" w:rsidRDefault="006F774B" w:rsidP="006F774B">
      <w:pPr>
        <w:pStyle w:val="Prrafodelista"/>
        <w:ind w:left="426" w:hanging="426"/>
        <w:jc w:val="both"/>
        <w:rPr>
          <w:rFonts w:ascii="Arial" w:hAnsi="Arial" w:cs="Arial"/>
          <w:sz w:val="22"/>
          <w:szCs w:val="22"/>
          <w:lang w:val="es-ES_tradnl"/>
        </w:rPr>
      </w:pPr>
    </w:p>
    <w:p w14:paraId="4F09C38E" w14:textId="77777777" w:rsidR="006F774B" w:rsidRPr="006F774B" w:rsidRDefault="006F774B" w:rsidP="006F774B">
      <w:pPr>
        <w:numPr>
          <w:ilvl w:val="1"/>
          <w:numId w:val="35"/>
        </w:numPr>
        <w:ind w:left="426" w:hanging="426"/>
        <w:jc w:val="both"/>
        <w:rPr>
          <w:rFonts w:cs="Arial"/>
          <w:lang w:val="es-ES_tradnl"/>
        </w:rPr>
      </w:pPr>
      <w:r w:rsidRPr="006F774B">
        <w:rPr>
          <w:rFonts w:cs="Arial"/>
          <w:b/>
          <w:lang w:val="es-ES_tradnl"/>
        </w:rPr>
        <w:t>VOLÚMEN Y SOPORTE DE LA UNIDAD DE DESCRIPCIÓN (CANTIDAD, TAMAÑO O DIMENSIONES:</w:t>
      </w:r>
      <w:r w:rsidRPr="006F774B">
        <w:rPr>
          <w:rFonts w:cs="Arial"/>
          <w:lang w:val="es-ES_tradnl"/>
        </w:rPr>
        <w:t xml:space="preserve"> 5.82 m (55 cajas, tres unidades empastadas)</w:t>
      </w:r>
      <w:r w:rsidRPr="006F774B">
        <w:rPr>
          <w:rFonts w:cs="Arial"/>
        </w:rPr>
        <w:t>.</w:t>
      </w:r>
    </w:p>
    <w:p w14:paraId="449FF461" w14:textId="77777777" w:rsidR="006F774B" w:rsidRPr="006F774B" w:rsidRDefault="006F774B" w:rsidP="006F774B">
      <w:pPr>
        <w:jc w:val="both"/>
        <w:rPr>
          <w:rFonts w:cs="Arial"/>
          <w:lang w:val="es-ES_tradnl"/>
        </w:rPr>
      </w:pPr>
    </w:p>
    <w:p w14:paraId="476F0641" w14:textId="77777777" w:rsidR="006F774B" w:rsidRPr="006F774B" w:rsidRDefault="006F774B" w:rsidP="006F774B">
      <w:pPr>
        <w:jc w:val="both"/>
        <w:rPr>
          <w:rFonts w:cs="Arial"/>
          <w:lang w:val="es-ES_tradnl"/>
        </w:rPr>
      </w:pPr>
    </w:p>
    <w:p w14:paraId="094FBD5D" w14:textId="77777777" w:rsidR="006F774B" w:rsidRPr="006F774B" w:rsidRDefault="006F774B" w:rsidP="006F774B">
      <w:pPr>
        <w:jc w:val="both"/>
        <w:rPr>
          <w:rFonts w:cs="Arial"/>
          <w:b/>
          <w:bCs/>
          <w:lang w:val="es-ES_tradnl"/>
        </w:rPr>
      </w:pPr>
      <w:r w:rsidRPr="006F774B">
        <w:rPr>
          <w:rFonts w:cs="Arial"/>
          <w:b/>
          <w:bCs/>
          <w:lang w:val="es-ES_tradnl"/>
        </w:rPr>
        <w:t>2- ÁREA DE CONTEXTO</w:t>
      </w:r>
    </w:p>
    <w:p w14:paraId="532052C7" w14:textId="77777777" w:rsidR="006F774B" w:rsidRPr="006F774B" w:rsidRDefault="006F774B" w:rsidP="006F774B">
      <w:pPr>
        <w:jc w:val="both"/>
        <w:rPr>
          <w:rFonts w:cs="Arial"/>
          <w:lang w:val="es-ES_tradnl"/>
        </w:rPr>
      </w:pPr>
    </w:p>
    <w:p w14:paraId="1A148CC3"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2.1 NOMBRE DEL O DE LOS PRODUCTOR (ES)/COLECCIONISTA (S):</w:t>
      </w:r>
      <w:r w:rsidRPr="006F774B">
        <w:rPr>
          <w:rFonts w:ascii="Arial" w:hAnsi="Arial" w:cs="Arial"/>
          <w:sz w:val="22"/>
          <w:szCs w:val="22"/>
          <w:lang w:val="es-ES_tradnl"/>
        </w:rPr>
        <w:t xml:space="preserve"> </w:t>
      </w:r>
      <w:r w:rsidRPr="006F774B">
        <w:rPr>
          <w:rFonts w:ascii="Arial" w:hAnsi="Arial" w:cs="Arial"/>
          <w:sz w:val="22"/>
          <w:szCs w:val="22"/>
        </w:rPr>
        <w:t>Tribunal de Probidad Administrativa, Presidencia de la República.</w:t>
      </w:r>
    </w:p>
    <w:p w14:paraId="2168E0F8" w14:textId="77777777" w:rsidR="006F774B" w:rsidRPr="006F774B" w:rsidRDefault="006F774B" w:rsidP="006F774B">
      <w:pPr>
        <w:pStyle w:val="Default"/>
        <w:jc w:val="both"/>
        <w:rPr>
          <w:rFonts w:ascii="Arial" w:hAnsi="Arial" w:cs="Arial"/>
          <w:sz w:val="22"/>
          <w:szCs w:val="22"/>
        </w:rPr>
      </w:pPr>
    </w:p>
    <w:p w14:paraId="4F8B528C" w14:textId="77777777" w:rsidR="006F774B" w:rsidRPr="006F774B" w:rsidRDefault="006F774B" w:rsidP="006F774B">
      <w:pPr>
        <w:pStyle w:val="NormalWeb"/>
        <w:spacing w:before="0" w:after="0"/>
        <w:jc w:val="both"/>
        <w:rPr>
          <w:rFonts w:ascii="Arial" w:hAnsi="Arial" w:cs="Arial"/>
          <w:sz w:val="22"/>
          <w:szCs w:val="22"/>
        </w:rPr>
      </w:pPr>
      <w:r w:rsidRPr="006F774B">
        <w:rPr>
          <w:rFonts w:ascii="Arial" w:hAnsi="Arial" w:cs="Arial"/>
          <w:b/>
          <w:sz w:val="22"/>
          <w:szCs w:val="22"/>
          <w:lang w:val="es-ES_tradnl"/>
        </w:rPr>
        <w:t>2.2 HISTORIA INSTITUCIONAL/RESEÑA BIOGRÁFICA:</w:t>
      </w:r>
      <w:r w:rsidRPr="006F774B">
        <w:rPr>
          <w:rFonts w:ascii="Arial" w:hAnsi="Arial" w:cs="Arial"/>
          <w:sz w:val="22"/>
          <w:szCs w:val="22"/>
          <w:lang w:val="es-ES_tradnl"/>
        </w:rPr>
        <w:t xml:space="preserve"> </w:t>
      </w:r>
      <w:r w:rsidRPr="006F774B">
        <w:rPr>
          <w:rFonts w:ascii="Arial" w:hAnsi="Arial" w:cs="Arial"/>
          <w:sz w:val="22"/>
          <w:szCs w:val="22"/>
        </w:rPr>
        <w:t xml:space="preserve">Con el triunfo del Ejército de Liberación Nacional en la Guerra Civil de 1948, se firma un pacto entre Otilio Ulate Blanco, candidato del Partido Unión Nacional, ganador de las elecciones de 1948, y José Figueres Ferrer, líder del ejército revolucionario, mediante el cual se constituye la Junta Fundadora de la Segunda República, ésta gobernaría el país durante dieciocho meses. </w:t>
      </w:r>
    </w:p>
    <w:p w14:paraId="2EEAB780" w14:textId="77777777" w:rsidR="006F774B" w:rsidRPr="006F774B" w:rsidRDefault="006F774B" w:rsidP="006F774B">
      <w:pPr>
        <w:pStyle w:val="NormalWeb"/>
        <w:spacing w:before="0" w:after="0"/>
        <w:jc w:val="both"/>
        <w:rPr>
          <w:rFonts w:ascii="Arial" w:hAnsi="Arial" w:cs="Arial"/>
          <w:sz w:val="22"/>
          <w:szCs w:val="22"/>
        </w:rPr>
      </w:pPr>
    </w:p>
    <w:p w14:paraId="7D8E7FE4" w14:textId="77777777" w:rsidR="006F774B" w:rsidRPr="006F774B" w:rsidRDefault="006F774B" w:rsidP="006F774B">
      <w:pPr>
        <w:pStyle w:val="NormalWeb"/>
        <w:spacing w:before="0" w:after="0"/>
        <w:jc w:val="both"/>
        <w:rPr>
          <w:rFonts w:ascii="Arial" w:hAnsi="Arial" w:cs="Arial"/>
          <w:sz w:val="22"/>
          <w:szCs w:val="22"/>
        </w:rPr>
      </w:pPr>
      <w:r w:rsidRPr="006F774B">
        <w:rPr>
          <w:rFonts w:ascii="Arial" w:hAnsi="Arial" w:cs="Arial"/>
          <w:sz w:val="22"/>
          <w:szCs w:val="22"/>
        </w:rPr>
        <w:t xml:space="preserve">Dicha Junta, antes de crear los Tribunales de Probidad, suprime la Junta de Custodia, Institución creada por el Doctor Rafael Ángel Calderón Guardia para incautar bienes de nacionales de Alemania, Italia y Japón residentes en Costa Rica, con motivo de la declaración de guerra de Costa Rica a las potencias del Eje en la Segunda Guerra Mundial. Al derogarse esta entidad, se crea la Oficina Administradora de la Propiedad Intervenida, la cual actúa como liquidadora de la Junta de Custodia y continua con las funciones de los bienes intervenidos. El Tribunal de Probidad se crea mediante artículo 12 del decreto Ley número 41 de 2 de junio de 1948, con el propósito de resolver los juicios de probidad establecidos contra ex funcionarios públicos ligados a los gobiernos de Teodoro Picado Michalski y Rafael Ángel Calderón Guardia, a quienes se les acusaba de defraudar al fisco, así como a los cónyuges y familiares de las personas intervenidas. En el aludido decreto se inserta la primera lista de intervenidos entre personas físicas y jurídicas. El Tribunal ejerce jurisdicción en todo el territorio nacional, y en sus orígenes lo integraron las siguientes personas: José María Zeledón Brenes, Guillermo </w:t>
      </w:r>
      <w:proofErr w:type="spellStart"/>
      <w:r w:rsidRPr="006F774B">
        <w:rPr>
          <w:rFonts w:ascii="Arial" w:hAnsi="Arial" w:cs="Arial"/>
          <w:sz w:val="22"/>
          <w:szCs w:val="22"/>
        </w:rPr>
        <w:t>Hoppe</w:t>
      </w:r>
      <w:proofErr w:type="spellEnd"/>
      <w:r w:rsidRPr="006F774B">
        <w:rPr>
          <w:rFonts w:ascii="Arial" w:hAnsi="Arial" w:cs="Arial"/>
          <w:sz w:val="22"/>
          <w:szCs w:val="22"/>
        </w:rPr>
        <w:t xml:space="preserve"> Alfaro, Roberto Ortiz Odio, Celso Gamboa Rodríguez y Fernando </w:t>
      </w:r>
      <w:proofErr w:type="spellStart"/>
      <w:r w:rsidRPr="006F774B">
        <w:rPr>
          <w:rFonts w:ascii="Arial" w:hAnsi="Arial" w:cs="Arial"/>
          <w:sz w:val="22"/>
          <w:szCs w:val="22"/>
        </w:rPr>
        <w:t>Runnebaum</w:t>
      </w:r>
      <w:proofErr w:type="spellEnd"/>
      <w:r w:rsidRPr="006F774B">
        <w:rPr>
          <w:rFonts w:ascii="Arial" w:hAnsi="Arial" w:cs="Arial"/>
          <w:sz w:val="22"/>
          <w:szCs w:val="22"/>
        </w:rPr>
        <w:t xml:space="preserve"> Quirós, todos en calidad de propietarios, y Francisco de Paula Amador Sibaja y Arturo </w:t>
      </w:r>
      <w:proofErr w:type="spellStart"/>
      <w:r w:rsidRPr="006F774B">
        <w:rPr>
          <w:rFonts w:ascii="Arial" w:hAnsi="Arial" w:cs="Arial"/>
          <w:sz w:val="22"/>
          <w:szCs w:val="22"/>
        </w:rPr>
        <w:t>Faith</w:t>
      </w:r>
      <w:proofErr w:type="spellEnd"/>
      <w:r w:rsidRPr="006F774B">
        <w:rPr>
          <w:rFonts w:ascii="Arial" w:hAnsi="Arial" w:cs="Arial"/>
          <w:sz w:val="22"/>
          <w:szCs w:val="22"/>
        </w:rPr>
        <w:t xml:space="preserve"> León, como suplentes. Las funciones principales del Tribunal son investigar si los bienes intervenidos han sido adquiridos legítimamente o, en su defecto, se han adquirido perjudicando al Estado. Los intervenidos contaban con un plazo de cuatro meses para demandar un juicio de probidad, en </w:t>
      </w:r>
      <w:r w:rsidRPr="006F774B">
        <w:rPr>
          <w:rFonts w:ascii="Arial" w:hAnsi="Arial" w:cs="Arial"/>
          <w:sz w:val="22"/>
          <w:szCs w:val="22"/>
        </w:rPr>
        <w:lastRenderedPageBreak/>
        <w:t xml:space="preserve">caso contrario el Tribunal dictaría sentencia declarando que los bienes intervenidos fueron adquiridos con fraude. Las sentencias dictadas por el Tribunal eran firmes e inapelables y se hacían con el voto de tres de sus integrantes. Este organismo llegó a atender más de 400 juicios, los cuales falla en su totalidad. El artículo 8 de la Ley número 41, crea la Oficina Administradora de la Propiedad Intervenida, OFAPI, adscrita al Ministerio de Economía Hacienda y Comercio que tendrá a su cargo el cumplimiento de esta ley con respecto a la propiedad intervenida y se encargaría del avalúo de los bienes declarados fraudulentos procediendo a su remate. Mediante el Decreto-Ley Número 839, vigente a partir del 8 de noviembre de 1949, se declaran terminadas y cumplidas las funciones encomendadas al Tribunal de Probidad. Mediante decreto 674 de 24 de agosto de 1949 y debido a la disminución de las funciones, la Oficina Administradora de la Propiedad Intervenida se reorganiza y se reduce, encargándole sus funciones a un Director General nombrado por el Ministerio de Hacienda con facultad de apoderado </w:t>
      </w:r>
      <w:r w:rsidRPr="006F774B">
        <w:rPr>
          <w:rStyle w:val="Refdenotaalpie"/>
          <w:rFonts w:ascii="Arial" w:hAnsi="Arial" w:cs="Arial"/>
          <w:sz w:val="22"/>
          <w:szCs w:val="22"/>
        </w:rPr>
        <w:footnoteReference w:id="1"/>
      </w:r>
    </w:p>
    <w:p w14:paraId="5ECD383A" w14:textId="77777777" w:rsidR="006F774B" w:rsidRPr="006F774B" w:rsidRDefault="006F774B" w:rsidP="006F774B">
      <w:pPr>
        <w:pStyle w:val="NormalWeb"/>
        <w:spacing w:before="0" w:after="0"/>
        <w:jc w:val="both"/>
        <w:rPr>
          <w:rFonts w:ascii="Arial" w:hAnsi="Arial" w:cs="Arial"/>
          <w:b/>
          <w:sz w:val="22"/>
          <w:szCs w:val="22"/>
          <w:lang w:val="es-ES_tradnl"/>
        </w:rPr>
      </w:pPr>
    </w:p>
    <w:p w14:paraId="01F2E037" w14:textId="77777777" w:rsidR="006F774B" w:rsidRPr="006F774B" w:rsidRDefault="006F774B" w:rsidP="006F774B">
      <w:pPr>
        <w:pStyle w:val="NormalWeb"/>
        <w:spacing w:before="0" w:after="0"/>
        <w:jc w:val="both"/>
        <w:rPr>
          <w:rFonts w:ascii="Arial" w:hAnsi="Arial" w:cs="Arial"/>
          <w:sz w:val="22"/>
          <w:szCs w:val="22"/>
          <w:lang w:val="es-CR"/>
        </w:rPr>
      </w:pPr>
      <w:r w:rsidRPr="006F774B">
        <w:rPr>
          <w:rFonts w:ascii="Arial" w:hAnsi="Arial" w:cs="Arial"/>
          <w:b/>
          <w:sz w:val="22"/>
          <w:szCs w:val="22"/>
          <w:lang w:val="es-ES_tradnl"/>
        </w:rPr>
        <w:t>2.3 HISTORIA ARCHIVÍSTICA:</w:t>
      </w:r>
      <w:r w:rsidRPr="006F774B">
        <w:rPr>
          <w:rFonts w:ascii="Arial" w:hAnsi="Arial" w:cs="Arial"/>
          <w:sz w:val="22"/>
          <w:szCs w:val="22"/>
          <w:lang w:val="es-ES_tradnl"/>
        </w:rPr>
        <w:t xml:space="preserve"> Los documentos estuvieron bajo custodia del organismo productor hasta su ingreso al Archivo Nacional. Po</w:t>
      </w:r>
      <w:proofErr w:type="spellStart"/>
      <w:r w:rsidRPr="006F774B">
        <w:rPr>
          <w:rFonts w:ascii="Arial" w:hAnsi="Arial" w:cs="Arial"/>
          <w:sz w:val="22"/>
          <w:szCs w:val="22"/>
        </w:rPr>
        <w:t>steriormente</w:t>
      </w:r>
      <w:proofErr w:type="spellEnd"/>
      <w:r w:rsidRPr="006F774B">
        <w:rPr>
          <w:rFonts w:ascii="Arial" w:hAnsi="Arial" w:cs="Arial"/>
          <w:sz w:val="22"/>
          <w:szCs w:val="22"/>
        </w:rPr>
        <w:t xml:space="preserve"> algunos documentos fueron solicitados en préstamo por instancias judiciales, este es el caso del expediente del Ex Presidente Rafael Ángel Calderón Guardia que fue solicitado por la Corte Suprema de Justicia el 11 de mayo de 1960 y fue devuelto al Archivo Nacional en 1999. </w:t>
      </w:r>
      <w:r w:rsidRPr="006F774B">
        <w:rPr>
          <w:rFonts w:ascii="Arial" w:hAnsi="Arial" w:cs="Arial"/>
          <w:sz w:val="22"/>
          <w:szCs w:val="22"/>
          <w:lang w:val="es-ES_tradnl"/>
        </w:rPr>
        <w:t xml:space="preserve">Por otro lado, los dos libros de actas de sesiones y uno de sentencias del Tribunal de Probidad se encontraban en la casa del señor </w:t>
      </w:r>
      <w:r w:rsidRPr="006F774B">
        <w:rPr>
          <w:rFonts w:ascii="Arial" w:hAnsi="Arial" w:cs="Arial"/>
          <w:sz w:val="22"/>
          <w:szCs w:val="22"/>
        </w:rPr>
        <w:t xml:space="preserve">Guido Morales Moya quien fue miembro del Tribunal de Probidad entre 1948 y 1949, estos documentos ingresaron en mal estado de conservación, por causa de la humedad, situación que volvió ilegibles algunos de los folios. Después de su ingreso al Archivo Nacional, estos se restauraron en el Departamento de Conservación y se digitalizaron con carácter de urgencia. </w:t>
      </w:r>
    </w:p>
    <w:p w14:paraId="5D905AF8" w14:textId="77777777" w:rsidR="006F774B" w:rsidRPr="006F774B" w:rsidRDefault="006F774B" w:rsidP="006F774B">
      <w:pPr>
        <w:pStyle w:val="Default"/>
        <w:jc w:val="both"/>
        <w:rPr>
          <w:rFonts w:ascii="Arial" w:hAnsi="Arial" w:cs="Arial"/>
          <w:sz w:val="22"/>
          <w:szCs w:val="22"/>
          <w:lang w:val="es-ES_tradnl"/>
        </w:rPr>
      </w:pPr>
    </w:p>
    <w:p w14:paraId="05FED6C2" w14:textId="77777777" w:rsidR="006F774B" w:rsidRPr="006F774B" w:rsidRDefault="006F774B" w:rsidP="006F774B">
      <w:pPr>
        <w:pStyle w:val="Default"/>
        <w:jc w:val="both"/>
        <w:rPr>
          <w:rFonts w:ascii="Arial" w:hAnsi="Arial" w:cs="Arial"/>
          <w:sz w:val="22"/>
          <w:szCs w:val="22"/>
          <w:lang w:val="es-ES_tradnl"/>
        </w:rPr>
      </w:pPr>
      <w:r w:rsidRPr="006F774B">
        <w:rPr>
          <w:rFonts w:ascii="Arial" w:hAnsi="Arial" w:cs="Arial"/>
          <w:b/>
          <w:sz w:val="22"/>
          <w:szCs w:val="22"/>
          <w:lang w:val="es-ES_tradnl"/>
        </w:rPr>
        <w:t>2.4 FORMA DE INGRESO:</w:t>
      </w:r>
      <w:r w:rsidRPr="006F774B">
        <w:rPr>
          <w:rFonts w:ascii="Arial" w:hAnsi="Arial" w:cs="Arial"/>
          <w:sz w:val="22"/>
          <w:szCs w:val="22"/>
          <w:lang w:val="es-ES_tradnl"/>
        </w:rPr>
        <w:t xml:space="preserve"> </w:t>
      </w:r>
    </w:p>
    <w:p w14:paraId="1C8181DB" w14:textId="77777777" w:rsidR="006F774B" w:rsidRPr="006F774B" w:rsidRDefault="006F774B" w:rsidP="006F774B">
      <w:pPr>
        <w:pStyle w:val="Default"/>
        <w:jc w:val="both"/>
        <w:rPr>
          <w:rFonts w:ascii="Arial" w:hAnsi="Arial" w:cs="Arial"/>
          <w:sz w:val="22"/>
          <w:szCs w:val="22"/>
          <w:lang w:val="es-ES_tradnl"/>
        </w:rPr>
      </w:pPr>
    </w:p>
    <w:p w14:paraId="2F5F7CEF" w14:textId="77777777" w:rsidR="006F774B" w:rsidRPr="006F774B" w:rsidRDefault="006F774B" w:rsidP="006F774B">
      <w:pPr>
        <w:pStyle w:val="Default"/>
        <w:jc w:val="both"/>
        <w:rPr>
          <w:rFonts w:ascii="Arial" w:hAnsi="Arial" w:cs="Arial"/>
          <w:sz w:val="22"/>
          <w:szCs w:val="22"/>
          <w:lang w:val="es-ES_tradnl"/>
        </w:rPr>
      </w:pPr>
      <w:r w:rsidRPr="006F774B">
        <w:rPr>
          <w:rFonts w:ascii="Arial" w:hAnsi="Arial" w:cs="Arial"/>
          <w:sz w:val="22"/>
          <w:szCs w:val="22"/>
          <w:lang w:val="es-ES_tradnl"/>
        </w:rPr>
        <w:t xml:space="preserve">Los documentos ingresaron por transferencia. Se tiene anotado en el Registro de Transferencias del Archivo Histórico (1900 a 1962) el ingreso de un grupo de 392 documentos el 5 de mayo de 1950. Con respecto a los dos libros de actas, el libro de sentencias y tres fotografías en positivo, se registra su ingreso por medio de un </w:t>
      </w:r>
      <w:r w:rsidRPr="006F774B">
        <w:rPr>
          <w:rFonts w:ascii="Arial" w:hAnsi="Arial" w:cs="Arial"/>
          <w:sz w:val="22"/>
          <w:szCs w:val="22"/>
        </w:rPr>
        <w:t>contrato de donación firmado el 10 de setiembre de 2012 entre la señora Virginia Chacón Arias, Directora General del Archivo Nacional y el señor Álvaro Morales Rodríguez en su condición de donante. Estos documentos ingresaron al Archivo Histórico el 28 de noviembre de 2012</w:t>
      </w:r>
      <w:r w:rsidRPr="006F774B">
        <w:rPr>
          <w:rFonts w:ascii="Arial" w:hAnsi="Arial" w:cs="Arial"/>
          <w:sz w:val="22"/>
          <w:szCs w:val="22"/>
          <w:lang w:val="es-ES_tradnl"/>
        </w:rPr>
        <w:t>.</w:t>
      </w:r>
    </w:p>
    <w:p w14:paraId="7D48B683" w14:textId="77777777" w:rsidR="006F774B" w:rsidRPr="006F774B" w:rsidRDefault="006F774B" w:rsidP="006F774B">
      <w:pPr>
        <w:pStyle w:val="Default"/>
        <w:jc w:val="both"/>
        <w:rPr>
          <w:rFonts w:ascii="Arial" w:hAnsi="Arial" w:cs="Arial"/>
          <w:sz w:val="22"/>
          <w:szCs w:val="22"/>
          <w:lang w:val="es-ES_tradnl"/>
        </w:rPr>
      </w:pPr>
    </w:p>
    <w:p w14:paraId="698EA9B0" w14:textId="77777777" w:rsidR="006F774B" w:rsidRPr="006F774B" w:rsidRDefault="006F774B" w:rsidP="006F774B">
      <w:pPr>
        <w:pStyle w:val="Default"/>
        <w:jc w:val="both"/>
        <w:rPr>
          <w:rFonts w:ascii="Arial" w:hAnsi="Arial" w:cs="Arial"/>
          <w:sz w:val="22"/>
          <w:szCs w:val="22"/>
          <w:lang w:val="es-ES_tradnl"/>
        </w:rPr>
      </w:pPr>
    </w:p>
    <w:p w14:paraId="2110A692" w14:textId="77777777" w:rsidR="006F774B" w:rsidRPr="006F774B" w:rsidRDefault="006F774B" w:rsidP="006F774B">
      <w:pPr>
        <w:pStyle w:val="Default"/>
        <w:jc w:val="both"/>
        <w:rPr>
          <w:rFonts w:ascii="Arial" w:hAnsi="Arial" w:cs="Arial"/>
          <w:sz w:val="22"/>
          <w:szCs w:val="22"/>
          <w:lang w:val="es-ES_tradnl"/>
        </w:rPr>
      </w:pPr>
      <w:r w:rsidRPr="006F774B">
        <w:rPr>
          <w:rFonts w:ascii="Arial" w:hAnsi="Arial" w:cs="Arial"/>
          <w:b/>
          <w:bCs/>
          <w:sz w:val="22"/>
          <w:szCs w:val="22"/>
          <w:lang w:val="es-ES_tradnl"/>
        </w:rPr>
        <w:t>3- ÁREA DE CONTENIDO Y ESTRUCTURA</w:t>
      </w:r>
    </w:p>
    <w:p w14:paraId="16D2FC85" w14:textId="77777777" w:rsidR="006F774B" w:rsidRPr="006F774B" w:rsidRDefault="006F774B" w:rsidP="006F774B">
      <w:pPr>
        <w:ind w:left="708"/>
        <w:jc w:val="both"/>
        <w:rPr>
          <w:rFonts w:cs="Arial"/>
          <w:lang w:val="es-ES_tradnl"/>
        </w:rPr>
      </w:pPr>
    </w:p>
    <w:p w14:paraId="372E26C0"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3.1 ALCANCE Y CONTENIDO:</w:t>
      </w:r>
      <w:r w:rsidRPr="006F774B">
        <w:rPr>
          <w:rFonts w:ascii="Arial" w:hAnsi="Arial" w:cs="Arial"/>
          <w:sz w:val="22"/>
          <w:szCs w:val="22"/>
          <w:lang w:val="es-ES_tradnl"/>
        </w:rPr>
        <w:t xml:space="preserve"> Los </w:t>
      </w:r>
      <w:r w:rsidRPr="006F774B">
        <w:rPr>
          <w:rFonts w:ascii="Arial" w:hAnsi="Arial" w:cs="Arial"/>
          <w:sz w:val="22"/>
          <w:szCs w:val="22"/>
        </w:rPr>
        <w:t xml:space="preserve">expedientes incluyen demandas de probidad, estados de cuentas bancarias, certificaciones y declaraciones de bienes, resoluciones, correspondencia entre persona intervenida y el Tribunal, órdenes de citación, constancias y listas de bienes. Los libros de </w:t>
      </w:r>
      <w:r w:rsidRPr="006F774B">
        <w:rPr>
          <w:rFonts w:ascii="Arial" w:hAnsi="Arial" w:cs="Arial"/>
          <w:sz w:val="22"/>
          <w:szCs w:val="22"/>
          <w:lang w:val="es-ES_tradnl"/>
        </w:rPr>
        <w:t>actas y sentencias contienen a</w:t>
      </w:r>
      <w:r w:rsidRPr="006F774B">
        <w:rPr>
          <w:rFonts w:ascii="Arial" w:hAnsi="Arial" w:cs="Arial"/>
          <w:sz w:val="22"/>
          <w:szCs w:val="22"/>
        </w:rPr>
        <w:t>cuerdos tomados por los miembros del Tribunal de Probidad Administrativa sobre intervención de bienes y apelaciones de personas acusadas de defraudar al Fisco durante las administraciones Calderón Guardia y Picado Michalski. Sentencias sobre juicios.</w:t>
      </w:r>
    </w:p>
    <w:p w14:paraId="00916294" w14:textId="77777777" w:rsidR="006F774B" w:rsidRPr="006F774B" w:rsidRDefault="006F774B" w:rsidP="006F774B">
      <w:pPr>
        <w:jc w:val="both"/>
        <w:rPr>
          <w:rFonts w:cs="Arial"/>
        </w:rPr>
      </w:pPr>
    </w:p>
    <w:p w14:paraId="647F7E89" w14:textId="596602CC" w:rsidR="006F774B" w:rsidRPr="006F774B" w:rsidRDefault="006F774B" w:rsidP="006F774B">
      <w:pPr>
        <w:jc w:val="both"/>
        <w:rPr>
          <w:rFonts w:cs="Arial"/>
          <w:lang w:val="es-ES"/>
        </w:rPr>
      </w:pPr>
      <w:r w:rsidRPr="006F774B">
        <w:rPr>
          <w:rFonts w:cs="Arial"/>
          <w:b/>
          <w:lang w:val="es-ES_tradnl"/>
        </w:rPr>
        <w:lastRenderedPageBreak/>
        <w:t>3.2 VALORACIÓN, SELECCIÓN Y ELIMINACIÓN:</w:t>
      </w:r>
      <w:r w:rsidRPr="006F774B">
        <w:rPr>
          <w:rFonts w:cs="Arial"/>
          <w:lang w:val="es-ES_tradnl"/>
        </w:rPr>
        <w:t xml:space="preserve"> </w:t>
      </w:r>
      <w:r w:rsidRPr="006F774B">
        <w:rPr>
          <w:rFonts w:cs="Arial"/>
        </w:rPr>
        <w:t xml:space="preserve">Conservación permanente; valorado de conformidad mediante la Ley 3661 del Archivo Nacional del 10 de enero de 1966; y valor científico cultural y conservación permanente mediante la Ley 7202 del Sistema Nacional de Archivo del 24 de octubre de 1990. </w:t>
      </w:r>
      <w:r w:rsidRPr="006F774B">
        <w:rPr>
          <w:rFonts w:cs="Arial"/>
          <w:lang w:val="es-ES_tradnl"/>
        </w:rPr>
        <w:t>Los libros de actas de sesiones y de sentencias del Tribunal de Probi</w:t>
      </w:r>
      <w:r w:rsidR="00A12259">
        <w:rPr>
          <w:rFonts w:cs="Arial"/>
          <w:lang w:val="es-ES_tradnl"/>
        </w:rPr>
        <w:t xml:space="preserve">dad y tres fotografías, fueron </w:t>
      </w:r>
      <w:r w:rsidR="00A12259" w:rsidRPr="006F774B">
        <w:rPr>
          <w:rFonts w:cs="Arial"/>
          <w:lang w:eastAsia="es-CR"/>
        </w:rPr>
        <w:t>declaradas</w:t>
      </w:r>
      <w:r w:rsidRPr="006F774B">
        <w:rPr>
          <w:rFonts w:cs="Arial"/>
          <w:lang w:eastAsia="es-CR"/>
        </w:rPr>
        <w:t xml:space="preserve"> de valor científico cultural mediante acuerdo número 4 de la sesión número 31-2012 de 5 de julio de 2012.</w:t>
      </w:r>
    </w:p>
    <w:p w14:paraId="0A264582" w14:textId="77777777" w:rsidR="006F774B" w:rsidRPr="006F774B" w:rsidRDefault="006F774B" w:rsidP="006F774B">
      <w:pPr>
        <w:jc w:val="both"/>
        <w:rPr>
          <w:rFonts w:cs="Arial"/>
          <w:lang w:val="es-ES_tradnl"/>
        </w:rPr>
      </w:pPr>
    </w:p>
    <w:p w14:paraId="79455534" w14:textId="77777777" w:rsidR="006F774B" w:rsidRPr="006F774B" w:rsidRDefault="006F774B" w:rsidP="006F774B">
      <w:pPr>
        <w:jc w:val="both"/>
        <w:rPr>
          <w:rFonts w:cs="Arial"/>
          <w:lang w:val="es-ES_tradnl"/>
        </w:rPr>
      </w:pPr>
      <w:r w:rsidRPr="006F774B">
        <w:rPr>
          <w:rFonts w:cs="Arial"/>
          <w:b/>
          <w:lang w:val="es-ES_tradnl"/>
        </w:rPr>
        <w:t>3.3 NUEVOS INGRESOS:</w:t>
      </w:r>
      <w:r w:rsidRPr="006F774B">
        <w:rPr>
          <w:rFonts w:cs="Arial"/>
          <w:lang w:val="es-ES_tradnl"/>
        </w:rPr>
        <w:t xml:space="preserve"> No</w:t>
      </w:r>
    </w:p>
    <w:p w14:paraId="73E2A8F1" w14:textId="77777777" w:rsidR="006F774B" w:rsidRPr="006F774B" w:rsidRDefault="006F774B" w:rsidP="006F774B">
      <w:pPr>
        <w:ind w:left="480"/>
        <w:jc w:val="both"/>
        <w:rPr>
          <w:rFonts w:cs="Arial"/>
          <w:lang w:val="es-ES_tradnl"/>
        </w:rPr>
      </w:pPr>
    </w:p>
    <w:p w14:paraId="59782BE5"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3.4 ORGANIZACIÓN:</w:t>
      </w:r>
      <w:r w:rsidRPr="006F774B">
        <w:rPr>
          <w:rFonts w:ascii="Arial" w:hAnsi="Arial" w:cs="Arial"/>
          <w:sz w:val="22"/>
          <w:szCs w:val="22"/>
          <w:lang w:val="es-ES_tradnl"/>
        </w:rPr>
        <w:t xml:space="preserve"> </w:t>
      </w:r>
      <w:r w:rsidRPr="006F774B">
        <w:rPr>
          <w:rFonts w:ascii="Arial" w:hAnsi="Arial" w:cs="Arial"/>
          <w:sz w:val="22"/>
          <w:szCs w:val="22"/>
        </w:rPr>
        <w:t>Los documentos están clasificados bajo el número de remesa 1662 y ordenados numéricamente.</w:t>
      </w:r>
    </w:p>
    <w:p w14:paraId="7238E441" w14:textId="77777777" w:rsidR="006F774B" w:rsidRPr="006F774B" w:rsidRDefault="006F774B" w:rsidP="006F774B">
      <w:pPr>
        <w:jc w:val="both"/>
        <w:rPr>
          <w:rFonts w:cs="Arial"/>
          <w:lang w:val="es-ES_tradnl"/>
        </w:rPr>
      </w:pPr>
    </w:p>
    <w:p w14:paraId="0B997951" w14:textId="77777777" w:rsidR="006F774B" w:rsidRPr="006F774B" w:rsidRDefault="006F774B" w:rsidP="006F774B">
      <w:pPr>
        <w:jc w:val="center"/>
        <w:rPr>
          <w:rFonts w:cs="Arial"/>
          <w:b/>
          <w:lang w:val="es-ES"/>
        </w:rPr>
      </w:pPr>
      <w:r w:rsidRPr="006F774B">
        <w:rPr>
          <w:rFonts w:cs="Arial"/>
          <w:b/>
        </w:rPr>
        <w:t>CUADRO DE CLASIFICACIÓN DEL ARCHIVO HISTÓRICO</w:t>
      </w:r>
    </w:p>
    <w:p w14:paraId="19CFDAE4" w14:textId="77777777" w:rsidR="006F774B" w:rsidRPr="006F774B" w:rsidRDefault="006F774B" w:rsidP="006F774B">
      <w:pPr>
        <w:pStyle w:val="Ttulo1"/>
        <w:spacing w:before="0"/>
        <w:jc w:val="center"/>
        <w:rPr>
          <w:rFonts w:ascii="Arial" w:hAnsi="Arial" w:cs="Arial"/>
          <w:color w:val="auto"/>
          <w:sz w:val="22"/>
          <w:szCs w:val="22"/>
        </w:rPr>
      </w:pPr>
      <w:r w:rsidRPr="006F774B">
        <w:rPr>
          <w:rFonts w:ascii="Arial" w:hAnsi="Arial" w:cs="Arial"/>
          <w:color w:val="auto"/>
          <w:sz w:val="22"/>
          <w:szCs w:val="22"/>
        </w:rPr>
        <w:t>PODER EJECUTIVO</w:t>
      </w:r>
    </w:p>
    <w:p w14:paraId="560D14B9" w14:textId="77777777" w:rsidR="006F774B" w:rsidRPr="006F774B" w:rsidRDefault="006F774B" w:rsidP="006F774B">
      <w:pPr>
        <w:jc w:val="both"/>
        <w:rPr>
          <w:rFonts w:cs="Arial"/>
        </w:rPr>
      </w:pPr>
    </w:p>
    <w:tbl>
      <w:tblPr>
        <w:tblStyle w:val="Tablaconcuadrcula"/>
        <w:tblW w:w="9180"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2943"/>
        <w:gridCol w:w="2268"/>
        <w:gridCol w:w="3969"/>
      </w:tblGrid>
      <w:tr w:rsidR="006F774B" w:rsidRPr="006F774B" w14:paraId="2A5FA326" w14:textId="77777777" w:rsidTr="00A12259">
        <w:trPr>
          <w:tblHeader/>
          <w:jc w:val="center"/>
        </w:trPr>
        <w:tc>
          <w:tcPr>
            <w:tcW w:w="2943" w:type="dxa"/>
            <w:hideMark/>
          </w:tcPr>
          <w:p w14:paraId="4EE0EA61" w14:textId="77777777" w:rsidR="006F774B" w:rsidRPr="006F774B" w:rsidRDefault="006F774B" w:rsidP="00A12259">
            <w:pPr>
              <w:snapToGrid w:val="0"/>
              <w:jc w:val="center"/>
              <w:rPr>
                <w:rFonts w:cs="Arial"/>
                <w:b/>
                <w:color w:val="000000"/>
                <w:lang w:val="es-ES"/>
              </w:rPr>
            </w:pPr>
            <w:r w:rsidRPr="006F774B">
              <w:rPr>
                <w:rFonts w:cs="Arial"/>
                <w:b/>
                <w:color w:val="000000"/>
              </w:rPr>
              <w:t>FONDO NIVEL I</w:t>
            </w:r>
          </w:p>
        </w:tc>
        <w:tc>
          <w:tcPr>
            <w:tcW w:w="2268" w:type="dxa"/>
            <w:hideMark/>
          </w:tcPr>
          <w:p w14:paraId="258C57AB" w14:textId="77777777" w:rsidR="006F774B" w:rsidRPr="006F774B" w:rsidRDefault="006F774B" w:rsidP="00A12259">
            <w:pPr>
              <w:snapToGrid w:val="0"/>
              <w:jc w:val="center"/>
              <w:rPr>
                <w:rFonts w:cs="Arial"/>
                <w:b/>
                <w:color w:val="000000"/>
                <w:lang w:val="es-ES"/>
              </w:rPr>
            </w:pPr>
            <w:r w:rsidRPr="006F774B">
              <w:rPr>
                <w:rFonts w:cs="Arial"/>
                <w:b/>
                <w:color w:val="000000"/>
              </w:rPr>
              <w:t>SUBFONDO 1</w:t>
            </w:r>
          </w:p>
        </w:tc>
        <w:tc>
          <w:tcPr>
            <w:tcW w:w="3969" w:type="dxa"/>
            <w:hideMark/>
          </w:tcPr>
          <w:p w14:paraId="140BF917" w14:textId="77777777" w:rsidR="006F774B" w:rsidRPr="006F774B" w:rsidRDefault="006F774B" w:rsidP="00A12259">
            <w:pPr>
              <w:snapToGrid w:val="0"/>
              <w:jc w:val="center"/>
              <w:rPr>
                <w:rFonts w:cs="Arial"/>
                <w:b/>
                <w:color w:val="000000"/>
                <w:lang w:val="es-ES"/>
              </w:rPr>
            </w:pPr>
            <w:r w:rsidRPr="006F774B">
              <w:rPr>
                <w:rFonts w:cs="Arial"/>
                <w:b/>
                <w:color w:val="000000"/>
              </w:rPr>
              <w:t>SERIE</w:t>
            </w:r>
          </w:p>
        </w:tc>
      </w:tr>
      <w:tr w:rsidR="006F774B" w:rsidRPr="006F774B" w14:paraId="4C8ACB8D" w14:textId="77777777" w:rsidTr="00A12259">
        <w:trPr>
          <w:jc w:val="center"/>
        </w:trPr>
        <w:tc>
          <w:tcPr>
            <w:tcW w:w="2943" w:type="dxa"/>
            <w:hideMark/>
          </w:tcPr>
          <w:p w14:paraId="3202C0B2" w14:textId="77777777" w:rsidR="006F774B" w:rsidRPr="006F774B" w:rsidRDefault="006F774B" w:rsidP="006F774B">
            <w:pPr>
              <w:snapToGrid w:val="0"/>
              <w:jc w:val="both"/>
              <w:rPr>
                <w:rFonts w:cs="Arial"/>
                <w:color w:val="000000"/>
                <w:lang w:val="es-ES"/>
              </w:rPr>
            </w:pPr>
            <w:r w:rsidRPr="006F774B">
              <w:rPr>
                <w:rFonts w:cs="Arial"/>
                <w:color w:val="000000"/>
              </w:rPr>
              <w:t>Presidencia de la República (PREP)</w:t>
            </w:r>
          </w:p>
        </w:tc>
        <w:tc>
          <w:tcPr>
            <w:tcW w:w="2268" w:type="dxa"/>
          </w:tcPr>
          <w:p w14:paraId="2EA748FA" w14:textId="77777777" w:rsidR="006F774B" w:rsidRPr="006F774B" w:rsidRDefault="006F774B" w:rsidP="006F774B">
            <w:pPr>
              <w:snapToGrid w:val="0"/>
              <w:jc w:val="both"/>
              <w:rPr>
                <w:rFonts w:cs="Arial"/>
                <w:color w:val="000000"/>
                <w:lang w:val="es-ES"/>
              </w:rPr>
            </w:pPr>
          </w:p>
        </w:tc>
        <w:tc>
          <w:tcPr>
            <w:tcW w:w="3969" w:type="dxa"/>
          </w:tcPr>
          <w:p w14:paraId="62A77044" w14:textId="77777777" w:rsidR="006F774B" w:rsidRPr="006F774B" w:rsidRDefault="006F774B" w:rsidP="006F774B">
            <w:pPr>
              <w:snapToGrid w:val="0"/>
              <w:jc w:val="both"/>
              <w:rPr>
                <w:rFonts w:cs="Arial"/>
                <w:color w:val="000000"/>
                <w:lang w:val="es-ES"/>
              </w:rPr>
            </w:pPr>
          </w:p>
        </w:tc>
      </w:tr>
      <w:tr w:rsidR="006F774B" w:rsidRPr="006F774B" w14:paraId="6E237FF0" w14:textId="77777777" w:rsidTr="00A12259">
        <w:trPr>
          <w:jc w:val="center"/>
        </w:trPr>
        <w:tc>
          <w:tcPr>
            <w:tcW w:w="2943" w:type="dxa"/>
          </w:tcPr>
          <w:p w14:paraId="03AFBAD1" w14:textId="77777777" w:rsidR="006F774B" w:rsidRPr="006F774B" w:rsidRDefault="006F774B" w:rsidP="006F774B">
            <w:pPr>
              <w:snapToGrid w:val="0"/>
              <w:jc w:val="both"/>
              <w:rPr>
                <w:rFonts w:cs="Arial"/>
                <w:b/>
                <w:bCs/>
                <w:color w:val="000000"/>
              </w:rPr>
            </w:pPr>
          </w:p>
        </w:tc>
        <w:tc>
          <w:tcPr>
            <w:tcW w:w="2268" w:type="dxa"/>
            <w:hideMark/>
          </w:tcPr>
          <w:p w14:paraId="079E8832" w14:textId="77777777" w:rsidR="006F774B" w:rsidRPr="006F774B" w:rsidRDefault="006F774B" w:rsidP="006F774B">
            <w:pPr>
              <w:pStyle w:val="Textoindependiente"/>
              <w:jc w:val="both"/>
              <w:rPr>
                <w:rFonts w:ascii="Arial" w:hAnsi="Arial" w:cs="Arial"/>
                <w:color w:val="000000"/>
                <w:sz w:val="22"/>
                <w:szCs w:val="22"/>
              </w:rPr>
            </w:pPr>
            <w:r w:rsidRPr="006F774B">
              <w:rPr>
                <w:rFonts w:ascii="Arial" w:hAnsi="Arial" w:cs="Arial"/>
                <w:color w:val="000000"/>
                <w:sz w:val="22"/>
                <w:szCs w:val="22"/>
              </w:rPr>
              <w:t>Tribunal de Probidad (TRIPRO)</w:t>
            </w:r>
          </w:p>
        </w:tc>
        <w:tc>
          <w:tcPr>
            <w:tcW w:w="3969" w:type="dxa"/>
            <w:hideMark/>
          </w:tcPr>
          <w:p w14:paraId="67DB9657" w14:textId="77777777" w:rsidR="006F774B" w:rsidRPr="006F774B" w:rsidRDefault="006F774B" w:rsidP="006F774B">
            <w:pPr>
              <w:jc w:val="both"/>
              <w:rPr>
                <w:rFonts w:cs="Arial"/>
                <w:color w:val="000000"/>
                <w:lang w:val="es-ES"/>
              </w:rPr>
            </w:pPr>
            <w:r w:rsidRPr="006F774B">
              <w:rPr>
                <w:rFonts w:cs="Arial"/>
                <w:color w:val="000000"/>
              </w:rPr>
              <w:t>-Expedientes de Probidad relacionados con la guerra civil de 1948. Remesa 1662 (EXPR1662)</w:t>
            </w:r>
          </w:p>
        </w:tc>
      </w:tr>
    </w:tbl>
    <w:p w14:paraId="62F00F73" w14:textId="77777777" w:rsidR="006F774B" w:rsidRPr="006F774B" w:rsidRDefault="006F774B" w:rsidP="006F774B">
      <w:pPr>
        <w:jc w:val="both"/>
        <w:rPr>
          <w:rFonts w:cs="Arial"/>
          <w:lang w:val="es-ES_tradnl"/>
        </w:rPr>
      </w:pPr>
    </w:p>
    <w:p w14:paraId="2E8D92F5" w14:textId="77777777" w:rsidR="006F774B" w:rsidRPr="006F774B" w:rsidRDefault="006F774B" w:rsidP="006F774B">
      <w:pPr>
        <w:jc w:val="both"/>
        <w:rPr>
          <w:rFonts w:cs="Arial"/>
          <w:lang w:val="es-ES_tradnl"/>
        </w:rPr>
      </w:pPr>
    </w:p>
    <w:p w14:paraId="084B953A" w14:textId="77777777" w:rsidR="006F774B" w:rsidRPr="006F774B" w:rsidRDefault="006F774B" w:rsidP="006F774B">
      <w:pPr>
        <w:jc w:val="both"/>
        <w:rPr>
          <w:rFonts w:cs="Arial"/>
          <w:b/>
          <w:bCs/>
          <w:lang w:val="es-ES_tradnl"/>
        </w:rPr>
      </w:pPr>
      <w:r w:rsidRPr="006F774B">
        <w:rPr>
          <w:rFonts w:cs="Arial"/>
          <w:b/>
          <w:bCs/>
          <w:lang w:val="es-ES_tradnl"/>
        </w:rPr>
        <w:t>4- AREA DE CONDICIONES DE ACCESO Y USO</w:t>
      </w:r>
    </w:p>
    <w:p w14:paraId="56A88BD7" w14:textId="77777777" w:rsidR="006F774B" w:rsidRPr="006F774B" w:rsidRDefault="006F774B" w:rsidP="006F774B">
      <w:pPr>
        <w:jc w:val="both"/>
        <w:rPr>
          <w:rFonts w:cs="Arial"/>
          <w:lang w:val="es-ES_tradnl"/>
        </w:rPr>
      </w:pPr>
    </w:p>
    <w:p w14:paraId="1B0992AC" w14:textId="77777777" w:rsidR="006F774B" w:rsidRPr="006F774B" w:rsidRDefault="006F774B" w:rsidP="006F774B">
      <w:pPr>
        <w:jc w:val="both"/>
        <w:rPr>
          <w:rFonts w:cs="Arial"/>
          <w:lang w:val="es-ES_tradnl"/>
        </w:rPr>
      </w:pPr>
      <w:r w:rsidRPr="006F774B">
        <w:rPr>
          <w:rFonts w:cs="Arial"/>
          <w:b/>
          <w:lang w:val="es-ES_tradnl"/>
        </w:rPr>
        <w:t>4.1 CONDICIONES DE ACCESO:</w:t>
      </w:r>
      <w:r w:rsidRPr="006F774B">
        <w:rPr>
          <w:rFonts w:cs="Arial"/>
          <w:lang w:val="es-ES_tradnl"/>
        </w:rPr>
        <w:t xml:space="preserve"> Libre</w:t>
      </w:r>
    </w:p>
    <w:p w14:paraId="594C829C" w14:textId="77777777" w:rsidR="006F774B" w:rsidRPr="006F774B" w:rsidRDefault="006F774B" w:rsidP="006F774B">
      <w:pPr>
        <w:jc w:val="both"/>
        <w:rPr>
          <w:rFonts w:cs="Arial"/>
          <w:lang w:val="es-ES_tradnl"/>
        </w:rPr>
      </w:pPr>
    </w:p>
    <w:p w14:paraId="673B885D"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4.2 CONDICIONES DE REPRODUCCIÓN:</w:t>
      </w:r>
      <w:r w:rsidRPr="006F774B">
        <w:rPr>
          <w:rFonts w:ascii="Arial" w:hAnsi="Arial" w:cs="Arial"/>
          <w:sz w:val="22"/>
          <w:szCs w:val="22"/>
          <w:lang w:val="es-ES_tradnl"/>
        </w:rPr>
        <w:t xml:space="preserve"> Libre.</w:t>
      </w:r>
      <w:r w:rsidRPr="006F774B">
        <w:rPr>
          <w:rFonts w:ascii="Arial" w:hAnsi="Arial" w:cs="Arial"/>
          <w:sz w:val="22"/>
          <w:szCs w:val="22"/>
        </w:rPr>
        <w:t xml:space="preserve"> Mediante fotocopia o fotografía digital de acuerdo con el estado de conservación de los documentos, según resolución DG-002-2008 del 30 de abril de 2008.</w:t>
      </w:r>
    </w:p>
    <w:p w14:paraId="71EB54FD" w14:textId="77777777" w:rsidR="006F774B" w:rsidRPr="006F774B" w:rsidRDefault="006F774B" w:rsidP="006F774B">
      <w:pPr>
        <w:ind w:left="708"/>
        <w:jc w:val="both"/>
        <w:rPr>
          <w:rFonts w:cs="Arial"/>
          <w:lang w:val="es-ES_tradnl"/>
        </w:rPr>
      </w:pPr>
    </w:p>
    <w:p w14:paraId="6C285BC1" w14:textId="77777777" w:rsidR="006F774B" w:rsidRPr="006F774B" w:rsidRDefault="006F774B" w:rsidP="006F774B">
      <w:pPr>
        <w:jc w:val="both"/>
        <w:rPr>
          <w:rFonts w:cs="Arial"/>
          <w:lang w:val="es-ES_tradnl"/>
        </w:rPr>
      </w:pPr>
      <w:r w:rsidRPr="006F774B">
        <w:rPr>
          <w:rFonts w:cs="Arial"/>
          <w:b/>
          <w:lang w:val="es-ES_tradnl"/>
        </w:rPr>
        <w:t>4.3 LENGUA / ESCRITURA (S) DE LA DOCUMENTACIÓN</w:t>
      </w:r>
      <w:r w:rsidRPr="006F774B">
        <w:rPr>
          <w:rFonts w:cs="Arial"/>
          <w:lang w:val="es-ES_tradnl"/>
        </w:rPr>
        <w:t xml:space="preserve">: </w:t>
      </w:r>
      <w:proofErr w:type="gramStart"/>
      <w:r w:rsidRPr="006F774B">
        <w:rPr>
          <w:rFonts w:cs="Arial"/>
          <w:lang w:val="es-ES_tradnl"/>
        </w:rPr>
        <w:t>Español</w:t>
      </w:r>
      <w:proofErr w:type="gramEnd"/>
      <w:r w:rsidRPr="006F774B">
        <w:rPr>
          <w:rFonts w:cs="Arial"/>
          <w:lang w:val="es-ES_tradnl"/>
        </w:rPr>
        <w:t>.</w:t>
      </w:r>
    </w:p>
    <w:p w14:paraId="6354E00A" w14:textId="77777777" w:rsidR="006F774B" w:rsidRPr="006F774B" w:rsidRDefault="006F774B" w:rsidP="006F774B">
      <w:pPr>
        <w:jc w:val="both"/>
        <w:rPr>
          <w:rFonts w:cs="Arial"/>
          <w:lang w:val="es-ES_tradnl"/>
        </w:rPr>
      </w:pPr>
      <w:r w:rsidRPr="006F774B">
        <w:rPr>
          <w:rFonts w:cs="Arial"/>
          <w:lang w:val="es-ES_tradnl"/>
        </w:rPr>
        <w:t xml:space="preserve"> </w:t>
      </w:r>
    </w:p>
    <w:p w14:paraId="4A23D33F" w14:textId="77777777" w:rsidR="006F774B" w:rsidRPr="006F774B" w:rsidRDefault="006F774B" w:rsidP="006F774B">
      <w:pPr>
        <w:jc w:val="both"/>
        <w:rPr>
          <w:rFonts w:cs="Arial"/>
          <w:lang w:val="es-ES_tradnl"/>
        </w:rPr>
      </w:pPr>
      <w:r w:rsidRPr="006F774B">
        <w:rPr>
          <w:rFonts w:cs="Arial"/>
          <w:b/>
          <w:lang w:val="es-ES_tradnl"/>
        </w:rPr>
        <w:t>4.4 CARACTERÍSTICAS FÍSICAS Y REQUISITOS TÉCNICOS:</w:t>
      </w:r>
      <w:r w:rsidRPr="006F774B">
        <w:rPr>
          <w:rFonts w:cs="Arial"/>
          <w:lang w:val="es-ES_tradnl"/>
        </w:rPr>
        <w:t xml:space="preserve"> Buen estado de conservación.</w:t>
      </w:r>
    </w:p>
    <w:p w14:paraId="5B6BFC24" w14:textId="77777777" w:rsidR="006F774B" w:rsidRPr="006F774B" w:rsidRDefault="006F774B" w:rsidP="006F774B">
      <w:pPr>
        <w:jc w:val="both"/>
        <w:rPr>
          <w:rFonts w:cs="Arial"/>
          <w:lang w:val="es-ES_tradnl"/>
        </w:rPr>
      </w:pPr>
    </w:p>
    <w:p w14:paraId="1EB1F76F" w14:textId="77777777" w:rsidR="00A12259" w:rsidRDefault="006F774B" w:rsidP="00A12259">
      <w:pPr>
        <w:pStyle w:val="Default"/>
        <w:jc w:val="both"/>
        <w:rPr>
          <w:rFonts w:ascii="Arial" w:hAnsi="Arial" w:cs="Arial"/>
          <w:sz w:val="22"/>
          <w:szCs w:val="22"/>
        </w:rPr>
      </w:pPr>
      <w:r w:rsidRPr="006F774B">
        <w:rPr>
          <w:rFonts w:ascii="Arial" w:hAnsi="Arial" w:cs="Arial"/>
          <w:b/>
          <w:sz w:val="22"/>
          <w:szCs w:val="22"/>
          <w:lang w:val="es-ES_tradnl"/>
        </w:rPr>
        <w:t>4.5 INSTRUMENTOS DE DESCRIPCIÓN:</w:t>
      </w:r>
      <w:r w:rsidRPr="006F774B">
        <w:rPr>
          <w:rFonts w:ascii="Arial" w:hAnsi="Arial" w:cs="Arial"/>
          <w:sz w:val="22"/>
          <w:szCs w:val="22"/>
          <w:lang w:val="es-ES_tradnl"/>
        </w:rPr>
        <w:t xml:space="preserve"> Se cuenta con instrumentos descriptivos automatizados y manuales</w:t>
      </w:r>
      <w:r w:rsidRPr="006F774B">
        <w:rPr>
          <w:rFonts w:ascii="Arial" w:hAnsi="Arial" w:cs="Arial"/>
          <w:sz w:val="22"/>
          <w:szCs w:val="22"/>
        </w:rPr>
        <w:t>.</w:t>
      </w:r>
    </w:p>
    <w:p w14:paraId="32DFD06B" w14:textId="2C6E1C0A" w:rsidR="006F774B" w:rsidRPr="006F774B" w:rsidRDefault="00A12259" w:rsidP="00A12259">
      <w:pPr>
        <w:pStyle w:val="Default"/>
        <w:jc w:val="both"/>
        <w:rPr>
          <w:rFonts w:cs="Arial"/>
        </w:rPr>
      </w:pPr>
      <w:r w:rsidRPr="006F774B">
        <w:rPr>
          <w:rFonts w:cs="Arial"/>
        </w:rPr>
        <w:t xml:space="preserve"> </w:t>
      </w:r>
    </w:p>
    <w:p w14:paraId="4F4B6DD7" w14:textId="77777777" w:rsidR="006F774B" w:rsidRPr="006F774B" w:rsidRDefault="006F774B" w:rsidP="006F774B">
      <w:pPr>
        <w:jc w:val="both"/>
        <w:rPr>
          <w:rFonts w:cs="Arial"/>
          <w:b/>
          <w:bCs/>
          <w:lang w:val="es-ES_tradnl"/>
        </w:rPr>
      </w:pPr>
      <w:r w:rsidRPr="006F774B">
        <w:rPr>
          <w:rFonts w:cs="Arial"/>
          <w:b/>
          <w:bCs/>
          <w:lang w:val="es-ES_tradnl"/>
        </w:rPr>
        <w:t>5- AREA DE DOCUMENTACIÓN ASOCIADA</w:t>
      </w:r>
    </w:p>
    <w:p w14:paraId="1BC1AA33" w14:textId="77777777" w:rsidR="006F774B" w:rsidRPr="006F774B" w:rsidRDefault="006F774B" w:rsidP="006F774B">
      <w:pPr>
        <w:jc w:val="both"/>
        <w:rPr>
          <w:rFonts w:cs="Arial"/>
          <w:lang w:val="es-ES_tradnl"/>
        </w:rPr>
      </w:pPr>
    </w:p>
    <w:p w14:paraId="6FAB18E0" w14:textId="77777777" w:rsidR="006F774B" w:rsidRPr="006F774B" w:rsidRDefault="006F774B" w:rsidP="006F774B">
      <w:pPr>
        <w:jc w:val="both"/>
        <w:rPr>
          <w:rFonts w:cs="Arial"/>
          <w:lang w:val="es-ES_tradnl"/>
        </w:rPr>
      </w:pPr>
      <w:r w:rsidRPr="006F774B">
        <w:rPr>
          <w:rFonts w:cs="Arial"/>
          <w:b/>
          <w:lang w:val="es-ES_tradnl"/>
        </w:rPr>
        <w:t>5.1 EXISTENCIA Y LOCALIZACIÓN DE LOS ORIGINALES:</w:t>
      </w:r>
      <w:r w:rsidRPr="006F774B">
        <w:rPr>
          <w:rFonts w:cs="Arial"/>
          <w:lang w:val="es-ES_tradnl"/>
        </w:rPr>
        <w:t xml:space="preserve"> En la Dirección General del Archivo Nacional de Costa Rica.</w:t>
      </w:r>
    </w:p>
    <w:p w14:paraId="11E64BFA" w14:textId="77777777" w:rsidR="006F774B" w:rsidRPr="006F774B" w:rsidRDefault="006F774B" w:rsidP="006F774B">
      <w:pPr>
        <w:jc w:val="both"/>
        <w:rPr>
          <w:rFonts w:cs="Arial"/>
          <w:lang w:val="es-ES_tradnl"/>
        </w:rPr>
      </w:pPr>
    </w:p>
    <w:p w14:paraId="4AFD8060"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5.3 UNIDADES DE DESCRIPCIÓN RELACIONADAS:</w:t>
      </w:r>
      <w:r w:rsidRPr="006F774B">
        <w:rPr>
          <w:rFonts w:ascii="Arial" w:hAnsi="Arial" w:cs="Arial"/>
          <w:sz w:val="22"/>
          <w:szCs w:val="22"/>
          <w:lang w:val="es-ES_tradnl"/>
        </w:rPr>
        <w:t xml:space="preserve"> En los siguientes fondos documentales custodiados por el Archivo Histórico del Archivo Nacional: </w:t>
      </w:r>
      <w:r w:rsidRPr="006F774B">
        <w:rPr>
          <w:rFonts w:ascii="Arial" w:hAnsi="Arial" w:cs="Arial"/>
          <w:sz w:val="22"/>
          <w:szCs w:val="22"/>
        </w:rPr>
        <w:t>Colección de Fotografías, Economía, Junta Fundadora de la Segunda República, Congreso, Oficina Administradora de la Propiedad Intervenida, OFAPI, Colección de Leyes y Decretos.</w:t>
      </w:r>
    </w:p>
    <w:p w14:paraId="7A32B272" w14:textId="77777777" w:rsidR="006F774B" w:rsidRPr="006F774B" w:rsidRDefault="006F774B" w:rsidP="006F774B">
      <w:pPr>
        <w:pStyle w:val="Default"/>
        <w:jc w:val="both"/>
        <w:rPr>
          <w:rFonts w:ascii="Arial" w:hAnsi="Arial" w:cs="Arial"/>
          <w:sz w:val="22"/>
          <w:szCs w:val="22"/>
        </w:rPr>
      </w:pPr>
    </w:p>
    <w:p w14:paraId="05F4BBE0" w14:textId="77777777" w:rsidR="006F774B" w:rsidRPr="006F774B" w:rsidRDefault="006F774B" w:rsidP="006F774B">
      <w:pPr>
        <w:pStyle w:val="Default"/>
        <w:jc w:val="both"/>
        <w:rPr>
          <w:rFonts w:ascii="Arial" w:hAnsi="Arial" w:cs="Arial"/>
          <w:b/>
          <w:sz w:val="22"/>
          <w:szCs w:val="22"/>
        </w:rPr>
      </w:pPr>
      <w:r w:rsidRPr="006F774B">
        <w:rPr>
          <w:rFonts w:ascii="Arial" w:hAnsi="Arial" w:cs="Arial"/>
          <w:b/>
          <w:sz w:val="22"/>
          <w:szCs w:val="22"/>
        </w:rPr>
        <w:lastRenderedPageBreak/>
        <w:t xml:space="preserve">5.4 NOTA DE PUBLICACIONES: </w:t>
      </w:r>
    </w:p>
    <w:p w14:paraId="18D8289D" w14:textId="77777777" w:rsidR="006F774B" w:rsidRPr="006F774B" w:rsidRDefault="006F774B" w:rsidP="006F774B">
      <w:pPr>
        <w:pStyle w:val="Default"/>
        <w:jc w:val="both"/>
        <w:rPr>
          <w:rFonts w:ascii="Arial" w:hAnsi="Arial" w:cs="Arial"/>
          <w:sz w:val="22"/>
          <w:szCs w:val="22"/>
        </w:rPr>
      </w:pPr>
    </w:p>
    <w:p w14:paraId="379AD744" w14:textId="77777777" w:rsidR="006F774B" w:rsidRPr="006F774B" w:rsidRDefault="006F774B" w:rsidP="006F774B">
      <w:pPr>
        <w:pStyle w:val="Default"/>
        <w:jc w:val="both"/>
        <w:rPr>
          <w:rFonts w:ascii="Arial" w:hAnsi="Arial" w:cs="Arial"/>
          <w:sz w:val="22"/>
          <w:szCs w:val="22"/>
        </w:rPr>
      </w:pPr>
      <w:r w:rsidRPr="006F774B">
        <w:rPr>
          <w:rFonts w:ascii="Arial" w:hAnsi="Arial" w:cs="Arial"/>
          <w:sz w:val="22"/>
          <w:szCs w:val="22"/>
        </w:rPr>
        <w:t>Quirós Vargas, Claudia: Los Tribunales de Probidad y de Sanciones Inmediatas. San José, Editorial Costa Rica, 1983.</w:t>
      </w:r>
    </w:p>
    <w:p w14:paraId="4A412970" w14:textId="77777777" w:rsidR="006F774B" w:rsidRPr="006F774B" w:rsidRDefault="006F774B" w:rsidP="006F774B">
      <w:pPr>
        <w:pStyle w:val="Default"/>
        <w:jc w:val="both"/>
        <w:rPr>
          <w:rFonts w:ascii="Arial" w:hAnsi="Arial" w:cs="Arial"/>
          <w:sz w:val="22"/>
          <w:szCs w:val="22"/>
        </w:rPr>
      </w:pPr>
    </w:p>
    <w:p w14:paraId="40DF9071" w14:textId="77777777" w:rsidR="006F774B" w:rsidRPr="006F774B" w:rsidRDefault="006F774B" w:rsidP="006F774B">
      <w:pPr>
        <w:pStyle w:val="Default"/>
        <w:jc w:val="both"/>
        <w:rPr>
          <w:rFonts w:ascii="Arial" w:hAnsi="Arial" w:cs="Arial"/>
          <w:sz w:val="22"/>
          <w:szCs w:val="22"/>
        </w:rPr>
      </w:pPr>
    </w:p>
    <w:p w14:paraId="5BB52853" w14:textId="77777777" w:rsidR="006F774B" w:rsidRPr="006F774B" w:rsidRDefault="006F774B" w:rsidP="006F774B">
      <w:pPr>
        <w:jc w:val="both"/>
        <w:rPr>
          <w:rFonts w:cs="Arial"/>
          <w:b/>
          <w:bCs/>
          <w:lang w:val="es-ES_tradnl"/>
        </w:rPr>
      </w:pPr>
      <w:r w:rsidRPr="006F774B">
        <w:rPr>
          <w:rFonts w:cs="Arial"/>
          <w:b/>
          <w:bCs/>
          <w:lang w:val="es-ES_tradnl"/>
        </w:rPr>
        <w:t>6. ÁREA DE NOTAS</w:t>
      </w:r>
    </w:p>
    <w:p w14:paraId="4FD8D9DC" w14:textId="77777777" w:rsidR="006F774B" w:rsidRPr="006F774B" w:rsidRDefault="006F774B" w:rsidP="006F774B">
      <w:pPr>
        <w:jc w:val="both"/>
        <w:rPr>
          <w:rFonts w:cs="Arial"/>
          <w:lang w:val="es-ES"/>
        </w:rPr>
      </w:pPr>
    </w:p>
    <w:p w14:paraId="4D2AA15E" w14:textId="77777777" w:rsidR="006F774B" w:rsidRPr="006F774B" w:rsidRDefault="006F774B" w:rsidP="006F774B">
      <w:pPr>
        <w:numPr>
          <w:ilvl w:val="1"/>
          <w:numId w:val="36"/>
        </w:numPr>
        <w:ind w:left="0" w:firstLine="0"/>
        <w:jc w:val="both"/>
        <w:rPr>
          <w:rFonts w:cs="Arial"/>
          <w:color w:val="000000"/>
          <w:lang w:val="es-ES_tradnl" w:eastAsia="es-CR"/>
        </w:rPr>
      </w:pPr>
      <w:r w:rsidRPr="006F774B">
        <w:rPr>
          <w:rFonts w:cs="Arial"/>
          <w:b/>
          <w:lang w:val="es-ES_tradnl"/>
        </w:rPr>
        <w:t>NOTAS:</w:t>
      </w:r>
      <w:r w:rsidRPr="006F774B">
        <w:rPr>
          <w:rFonts w:cs="Arial"/>
          <w:lang w:val="es-ES_tradnl"/>
        </w:rPr>
        <w:t xml:space="preserve"> En el sitio web del Archivo Nacional se encuentran publicadas las </w:t>
      </w:r>
      <w:r w:rsidRPr="006F774B">
        <w:rPr>
          <w:rFonts w:cs="Arial"/>
          <w:color w:val="000000"/>
          <w:lang w:val="es-ES_tradnl" w:eastAsia="es-CR"/>
        </w:rPr>
        <w:t>actas de sesiones y de sentencias del Tribunal de Probidad y las fotografías de los miembros de ese Tribunal.</w:t>
      </w:r>
    </w:p>
    <w:p w14:paraId="777D61D2" w14:textId="77777777" w:rsidR="006F774B" w:rsidRPr="006F774B" w:rsidRDefault="006F774B" w:rsidP="006F774B">
      <w:pPr>
        <w:jc w:val="both"/>
        <w:rPr>
          <w:rFonts w:cs="Arial"/>
          <w:b/>
          <w:bCs/>
          <w:lang w:val="es-ES_tradnl"/>
        </w:rPr>
      </w:pPr>
    </w:p>
    <w:p w14:paraId="201EAADB" w14:textId="77777777" w:rsidR="006F774B" w:rsidRPr="006F774B" w:rsidRDefault="006F774B" w:rsidP="006F774B">
      <w:pPr>
        <w:jc w:val="both"/>
        <w:rPr>
          <w:rFonts w:cs="Arial"/>
          <w:b/>
          <w:bCs/>
          <w:lang w:val="es-ES_tradnl"/>
        </w:rPr>
      </w:pPr>
    </w:p>
    <w:p w14:paraId="538D46E2" w14:textId="77777777" w:rsidR="006F774B" w:rsidRPr="006F774B" w:rsidRDefault="006F774B" w:rsidP="006F774B">
      <w:pPr>
        <w:jc w:val="both"/>
        <w:rPr>
          <w:rFonts w:cs="Arial"/>
          <w:b/>
          <w:bCs/>
          <w:lang w:val="es-ES_tradnl"/>
        </w:rPr>
      </w:pPr>
      <w:r w:rsidRPr="006F774B">
        <w:rPr>
          <w:rFonts w:cs="Arial"/>
          <w:b/>
          <w:bCs/>
          <w:lang w:val="es-ES_tradnl"/>
        </w:rPr>
        <w:t>7.  ÁREA DE CONTROL DE LA DESCRIPCIÓN</w:t>
      </w:r>
    </w:p>
    <w:p w14:paraId="6DE53633" w14:textId="77777777" w:rsidR="006F774B" w:rsidRPr="006F774B" w:rsidRDefault="006F774B" w:rsidP="006F774B">
      <w:pPr>
        <w:jc w:val="both"/>
        <w:rPr>
          <w:rFonts w:cs="Arial"/>
          <w:lang w:val="es-ES_tradnl"/>
        </w:rPr>
      </w:pPr>
    </w:p>
    <w:p w14:paraId="0D5D242A" w14:textId="77777777" w:rsidR="006F774B" w:rsidRPr="006F774B" w:rsidRDefault="006F774B" w:rsidP="006F774B">
      <w:pPr>
        <w:pStyle w:val="Default"/>
        <w:jc w:val="both"/>
        <w:rPr>
          <w:rFonts w:ascii="Arial" w:hAnsi="Arial" w:cs="Arial"/>
          <w:sz w:val="22"/>
          <w:szCs w:val="22"/>
        </w:rPr>
      </w:pPr>
      <w:r w:rsidRPr="006F774B">
        <w:rPr>
          <w:rFonts w:ascii="Arial" w:hAnsi="Arial" w:cs="Arial"/>
          <w:b/>
          <w:sz w:val="22"/>
          <w:szCs w:val="22"/>
          <w:lang w:val="es-ES_tradnl"/>
        </w:rPr>
        <w:t>7.1 NOTA DEL ARCHIVERO:</w:t>
      </w:r>
      <w:r w:rsidRPr="006F774B">
        <w:rPr>
          <w:rFonts w:ascii="Arial" w:hAnsi="Arial" w:cs="Arial"/>
          <w:sz w:val="22"/>
          <w:szCs w:val="22"/>
          <w:lang w:val="es-ES_tradnl"/>
        </w:rPr>
        <w:t xml:space="preserve"> Versión anterior de la entrada descriptiva e</w:t>
      </w:r>
      <w:r w:rsidRPr="006F774B">
        <w:rPr>
          <w:rFonts w:ascii="Arial" w:hAnsi="Arial" w:cs="Arial"/>
          <w:sz w:val="22"/>
          <w:szCs w:val="22"/>
        </w:rPr>
        <w:t>laborada por Jorge Jiménez Espinoza en el año 2009, revisada y actualizada por la Comisión de Descripción del Archivo Nacional mediante las sesiones 07-2009 del 09 de junio de 2009, 09-2009 del 06 de agosto de 2009, 10-2009 del 01 de setiembre de 2009 y 12-09 del 06 de octubre de 2009. La presente entrada</w:t>
      </w:r>
      <w:r w:rsidRPr="006F774B">
        <w:rPr>
          <w:rFonts w:ascii="Arial" w:hAnsi="Arial" w:cs="Arial"/>
          <w:sz w:val="22"/>
          <w:szCs w:val="22"/>
          <w:lang w:val="es-ES_tradnl"/>
        </w:rPr>
        <w:t xml:space="preserve"> fue actualizada por Alejandra Chavarría Alvarado, Profesional del Departamento Archivo Histórico. </w:t>
      </w:r>
    </w:p>
    <w:p w14:paraId="49410672" w14:textId="77777777" w:rsidR="006F774B" w:rsidRPr="006F774B" w:rsidRDefault="006F774B" w:rsidP="006F774B">
      <w:pPr>
        <w:jc w:val="both"/>
        <w:rPr>
          <w:rFonts w:cs="Arial"/>
          <w:lang w:val="es-ES_tradnl"/>
        </w:rPr>
      </w:pPr>
    </w:p>
    <w:p w14:paraId="5EA11D2D" w14:textId="77777777" w:rsidR="006F774B" w:rsidRPr="006F774B" w:rsidRDefault="006F774B" w:rsidP="006F774B">
      <w:pPr>
        <w:jc w:val="both"/>
        <w:rPr>
          <w:rFonts w:cs="Arial"/>
          <w:lang w:val="es-ES_tradnl"/>
        </w:rPr>
      </w:pPr>
      <w:r w:rsidRPr="006F774B">
        <w:rPr>
          <w:rFonts w:cs="Arial"/>
          <w:lang w:val="es-ES_tradnl"/>
        </w:rPr>
        <w:t xml:space="preserve">Para la realización de la entrada se consultó el Registro de Transferencias de 1900 a 1962 del Archivo Histórico, el expediente de donación de Álvaro Morales Rodríguez conservado en el Departamento de Servicios Archivísticos Externos y se </w:t>
      </w:r>
      <w:r w:rsidRPr="006F774B">
        <w:rPr>
          <w:rFonts w:cs="Arial"/>
        </w:rPr>
        <w:t>consultaron los siguientes sitios web:</w:t>
      </w:r>
    </w:p>
    <w:p w14:paraId="65E9386A" w14:textId="77777777" w:rsidR="006F774B" w:rsidRPr="006F774B" w:rsidRDefault="006F774B" w:rsidP="006F774B">
      <w:pPr>
        <w:jc w:val="both"/>
        <w:rPr>
          <w:rFonts w:cs="Arial"/>
          <w:lang w:val="es-ES_tradnl"/>
        </w:rPr>
      </w:pPr>
      <w:r w:rsidRPr="006F774B">
        <w:rPr>
          <w:rFonts w:cs="Arial"/>
          <w:lang w:val="es-ES_tradnl"/>
        </w:rPr>
        <w:t>http://www.elespiritudel48.org/docu/h044.htm</w:t>
      </w:r>
    </w:p>
    <w:p w14:paraId="3F261805" w14:textId="77777777" w:rsidR="006F774B" w:rsidRPr="006F774B" w:rsidRDefault="006F774B" w:rsidP="006F774B">
      <w:pPr>
        <w:jc w:val="both"/>
        <w:rPr>
          <w:rFonts w:cs="Arial"/>
          <w:lang w:val="es-ES_tradnl"/>
        </w:rPr>
      </w:pPr>
      <w:r w:rsidRPr="006F774B">
        <w:rPr>
          <w:rFonts w:cs="Arial"/>
          <w:lang w:val="es-ES_tradnl"/>
        </w:rPr>
        <w:t>http://www.archivonacional.go.cr</w:t>
      </w:r>
    </w:p>
    <w:p w14:paraId="337445AB" w14:textId="77777777" w:rsidR="006F774B" w:rsidRPr="006F774B" w:rsidRDefault="006F774B" w:rsidP="006F774B">
      <w:pPr>
        <w:jc w:val="both"/>
        <w:rPr>
          <w:rFonts w:cs="Arial"/>
          <w:lang w:val="es-ES_tradnl"/>
        </w:rPr>
      </w:pPr>
    </w:p>
    <w:p w14:paraId="0EA18066" w14:textId="77777777" w:rsidR="006F774B" w:rsidRPr="006F774B" w:rsidRDefault="006F774B" w:rsidP="006F774B">
      <w:pPr>
        <w:numPr>
          <w:ilvl w:val="1"/>
          <w:numId w:val="37"/>
        </w:numPr>
        <w:jc w:val="both"/>
        <w:rPr>
          <w:rFonts w:cs="Arial"/>
          <w:b/>
          <w:lang w:val="es-ES_tradnl"/>
        </w:rPr>
      </w:pPr>
      <w:r w:rsidRPr="006F774B">
        <w:rPr>
          <w:rFonts w:cs="Arial"/>
          <w:b/>
          <w:lang w:val="es-ES_tradnl"/>
        </w:rPr>
        <w:t xml:space="preserve">REGLAS O NORMAS: </w:t>
      </w:r>
    </w:p>
    <w:p w14:paraId="64C78346" w14:textId="77777777" w:rsidR="006F774B" w:rsidRPr="006F774B" w:rsidRDefault="006F774B" w:rsidP="006F774B">
      <w:pPr>
        <w:jc w:val="both"/>
        <w:rPr>
          <w:rFonts w:cs="Arial"/>
          <w:lang w:val="es-ES_tradnl"/>
        </w:rPr>
      </w:pPr>
    </w:p>
    <w:p w14:paraId="5503F370" w14:textId="77777777" w:rsidR="006F774B" w:rsidRPr="006F774B" w:rsidRDefault="006F774B" w:rsidP="006F774B">
      <w:pPr>
        <w:jc w:val="both"/>
        <w:rPr>
          <w:rFonts w:cs="Arial"/>
          <w:lang w:val="es-ES_tradnl"/>
        </w:rPr>
      </w:pPr>
      <w:r w:rsidRPr="006F774B">
        <w:rPr>
          <w:rFonts w:cs="Arial"/>
          <w:lang w:val="es-ES_tradnl"/>
        </w:rPr>
        <w:t>- Consejo Internacional de Archivos. ISAD (G) (2000). Norma Internacional General de Descripción Archivística. Madrid, Subdirección de los Archivos Estatales.</w:t>
      </w:r>
    </w:p>
    <w:p w14:paraId="139EF5D1" w14:textId="77777777" w:rsidR="006F774B" w:rsidRPr="006F774B" w:rsidRDefault="006F774B" w:rsidP="006F774B">
      <w:pPr>
        <w:jc w:val="both"/>
        <w:rPr>
          <w:rFonts w:cs="Arial"/>
          <w:lang w:val="es-ES_tradnl"/>
        </w:rPr>
      </w:pPr>
    </w:p>
    <w:p w14:paraId="54491C81" w14:textId="77777777" w:rsidR="006F774B" w:rsidRPr="006F774B" w:rsidRDefault="006F774B" w:rsidP="006F774B">
      <w:pPr>
        <w:jc w:val="both"/>
        <w:rPr>
          <w:rFonts w:cs="Arial"/>
          <w:lang w:val="es-ES_tradnl"/>
        </w:rPr>
      </w:pPr>
      <w:r w:rsidRPr="006F774B">
        <w:rPr>
          <w:rFonts w:cs="Arial"/>
          <w:lang w:val="es-ES_tradnl"/>
        </w:rPr>
        <w:t>- Dirección General del Archivo Nacional (2010). Aplicación de la Norma Internacional de Descripción ISAD (G) en el Archivo Nacional. Actualizada en mayo de 2011.</w:t>
      </w:r>
    </w:p>
    <w:p w14:paraId="13D768F1" w14:textId="77777777" w:rsidR="006F774B" w:rsidRPr="006F774B" w:rsidRDefault="006F774B" w:rsidP="006F774B">
      <w:pPr>
        <w:jc w:val="both"/>
        <w:rPr>
          <w:rFonts w:cs="Arial"/>
          <w:lang w:val="es-ES_tradnl"/>
        </w:rPr>
      </w:pPr>
    </w:p>
    <w:p w14:paraId="69434869" w14:textId="173686C0" w:rsidR="00550F08" w:rsidRPr="006F774B" w:rsidRDefault="006F774B" w:rsidP="00A12259">
      <w:pPr>
        <w:pStyle w:val="Default"/>
        <w:jc w:val="both"/>
        <w:rPr>
          <w:rFonts w:cs="Arial"/>
          <w:lang w:val="es-ES"/>
        </w:rPr>
      </w:pPr>
      <w:r w:rsidRPr="006F774B">
        <w:rPr>
          <w:rFonts w:ascii="Arial" w:hAnsi="Arial" w:cs="Arial"/>
          <w:b/>
          <w:sz w:val="22"/>
          <w:szCs w:val="22"/>
          <w:lang w:val="es-ES_tradnl"/>
        </w:rPr>
        <w:t>7.3 FECHA (S) DE LA (S) DESCRIPCIÓN (ES):</w:t>
      </w:r>
      <w:r w:rsidRPr="006F774B">
        <w:rPr>
          <w:rFonts w:ascii="Arial" w:hAnsi="Arial" w:cs="Arial"/>
          <w:sz w:val="22"/>
          <w:szCs w:val="22"/>
          <w:lang w:val="es-ES_tradnl"/>
        </w:rPr>
        <w:t xml:space="preserve"> 2015-02-24. </w:t>
      </w:r>
      <w:r w:rsidRPr="006F774B">
        <w:rPr>
          <w:rFonts w:ascii="Arial" w:hAnsi="Arial" w:cs="Arial"/>
          <w:bCs/>
          <w:sz w:val="22"/>
          <w:szCs w:val="22"/>
          <w:lang w:val="es-ES_tradnl"/>
        </w:rPr>
        <w:t>Revisada y aprobada por la Comisión de Descripción del Archivo Nacional, sesión 02-2015</w:t>
      </w:r>
      <w:bookmarkStart w:id="0" w:name="_GoBack"/>
      <w:bookmarkEnd w:id="0"/>
    </w:p>
    <w:p w14:paraId="336805C1" w14:textId="77777777" w:rsidR="006F774B" w:rsidRPr="006F774B" w:rsidRDefault="006F774B">
      <w:pPr>
        <w:jc w:val="both"/>
        <w:rPr>
          <w:rFonts w:cs="Arial"/>
          <w:lang w:val="es-ES"/>
        </w:rPr>
      </w:pPr>
    </w:p>
    <w:sectPr w:rsidR="006F774B" w:rsidRPr="006F774B"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2F3C" w14:textId="77777777" w:rsidR="00E22CD5" w:rsidRDefault="00E22CD5" w:rsidP="00602906">
      <w:r>
        <w:separator/>
      </w:r>
    </w:p>
  </w:endnote>
  <w:endnote w:type="continuationSeparator" w:id="0">
    <w:p w14:paraId="78CBA02E" w14:textId="77777777" w:rsidR="00E22CD5" w:rsidRDefault="00E22CD5"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1C6D96C4"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3F307" w14:textId="77777777" w:rsidR="00E22CD5" w:rsidRDefault="00E22CD5" w:rsidP="00602906">
      <w:r>
        <w:separator/>
      </w:r>
    </w:p>
  </w:footnote>
  <w:footnote w:type="continuationSeparator" w:id="0">
    <w:p w14:paraId="0C88ECD8" w14:textId="77777777" w:rsidR="00E22CD5" w:rsidRDefault="00E22CD5" w:rsidP="00602906">
      <w:r>
        <w:continuationSeparator/>
      </w:r>
    </w:p>
  </w:footnote>
  <w:footnote w:id="1">
    <w:p w14:paraId="789A859B" w14:textId="77777777" w:rsidR="006F774B" w:rsidRPr="00A12259" w:rsidRDefault="006F774B" w:rsidP="006F774B">
      <w:pPr>
        <w:pStyle w:val="Textonotapie"/>
        <w:rPr>
          <w:rFonts w:ascii="Arial" w:hAnsi="Arial" w:cs="Arial"/>
        </w:rPr>
      </w:pPr>
      <w:r w:rsidRPr="00A12259">
        <w:rPr>
          <w:rStyle w:val="Refdenotaalpie"/>
          <w:rFonts w:ascii="Arial" w:hAnsi="Arial" w:cs="Arial"/>
          <w:sz w:val="18"/>
        </w:rPr>
        <w:footnoteRef/>
      </w:r>
      <w:r w:rsidRPr="00A12259">
        <w:rPr>
          <w:rFonts w:ascii="Arial" w:hAnsi="Arial" w:cs="Arial"/>
          <w:sz w:val="18"/>
        </w:rPr>
        <w:t xml:space="preserve"> Archivo Nacional de Costa Rica. Colección de Leyes y Decretos, Tomo I, Segundo Semestre, 1949, pág.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4">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7">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1">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3">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4">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6">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8">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3">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6">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7">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9">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1">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3">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4">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9"/>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102082"/>
    <w:rsid w:val="00121DC6"/>
    <w:rsid w:val="001331FD"/>
    <w:rsid w:val="00134465"/>
    <w:rsid w:val="00136788"/>
    <w:rsid w:val="00144ABD"/>
    <w:rsid w:val="0016679D"/>
    <w:rsid w:val="0017126C"/>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E7965"/>
    <w:rsid w:val="006F774B"/>
    <w:rsid w:val="0072117D"/>
    <w:rsid w:val="007211E4"/>
    <w:rsid w:val="007268F8"/>
    <w:rsid w:val="007647D9"/>
    <w:rsid w:val="007A32FA"/>
    <w:rsid w:val="007B4427"/>
    <w:rsid w:val="007D29AE"/>
    <w:rsid w:val="00833FB5"/>
    <w:rsid w:val="00836E21"/>
    <w:rsid w:val="00864018"/>
    <w:rsid w:val="00902AEE"/>
    <w:rsid w:val="009136A0"/>
    <w:rsid w:val="009337A7"/>
    <w:rsid w:val="0096318C"/>
    <w:rsid w:val="009A0613"/>
    <w:rsid w:val="009B1D8F"/>
    <w:rsid w:val="009C4662"/>
    <w:rsid w:val="009D7720"/>
    <w:rsid w:val="009E138F"/>
    <w:rsid w:val="009F3A23"/>
    <w:rsid w:val="00A074ED"/>
    <w:rsid w:val="00A07EF0"/>
    <w:rsid w:val="00A12259"/>
    <w:rsid w:val="00A1635C"/>
    <w:rsid w:val="00A16404"/>
    <w:rsid w:val="00A6609B"/>
    <w:rsid w:val="00A756C1"/>
    <w:rsid w:val="00A822A2"/>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C850AA"/>
    <w:rsid w:val="00D407F6"/>
    <w:rsid w:val="00D638A1"/>
    <w:rsid w:val="00DA50CF"/>
    <w:rsid w:val="00DC12F6"/>
    <w:rsid w:val="00DD17D2"/>
    <w:rsid w:val="00DF48E5"/>
    <w:rsid w:val="00E02D41"/>
    <w:rsid w:val="00E05D8E"/>
    <w:rsid w:val="00E20D28"/>
    <w:rsid w:val="00E22CD5"/>
    <w:rsid w:val="00E33250"/>
    <w:rsid w:val="00E4347A"/>
    <w:rsid w:val="00E677E3"/>
    <w:rsid w:val="00E735AD"/>
    <w:rsid w:val="00E856B3"/>
    <w:rsid w:val="00EB0669"/>
    <w:rsid w:val="00EB7CFB"/>
    <w:rsid w:val="00EB7EF7"/>
    <w:rsid w:val="00F2227A"/>
    <w:rsid w:val="00F34B87"/>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D29D-FEC5-4EB9-A0CF-9FF08180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2017-04-17T18:30:00Z</dcterms:created>
  <dcterms:modified xsi:type="dcterms:W3CDTF">2017-04-19T15:59:00Z</dcterms:modified>
</cp:coreProperties>
</file>