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D1AE0" w14:textId="77777777" w:rsidR="00864018" w:rsidRPr="00864018" w:rsidRDefault="00864018" w:rsidP="00864018">
      <w:pPr>
        <w:pStyle w:val="Ttulo1"/>
        <w:jc w:val="center"/>
        <w:rPr>
          <w:rFonts w:ascii="Arial" w:hAnsi="Arial" w:cs="Arial"/>
          <w:color w:val="auto"/>
          <w:sz w:val="22"/>
          <w:szCs w:val="22"/>
        </w:rPr>
      </w:pPr>
    </w:p>
    <w:p w14:paraId="0063A5E5" w14:textId="77777777" w:rsidR="00864018" w:rsidRDefault="00864018" w:rsidP="00864018">
      <w:pPr>
        <w:pStyle w:val="Ttulo1"/>
        <w:spacing w:before="0"/>
        <w:jc w:val="center"/>
        <w:rPr>
          <w:rFonts w:ascii="Arial" w:hAnsi="Arial" w:cs="Arial"/>
          <w:color w:val="auto"/>
          <w:sz w:val="22"/>
          <w:szCs w:val="22"/>
        </w:rPr>
      </w:pPr>
      <w:r w:rsidRPr="00864018">
        <w:rPr>
          <w:rFonts w:ascii="Arial" w:hAnsi="Arial" w:cs="Arial"/>
          <w:color w:val="auto"/>
          <w:sz w:val="22"/>
          <w:szCs w:val="22"/>
        </w:rPr>
        <w:t xml:space="preserve">ENTRADA DESCRIPTIVA CON LA APLICACIÓN DE </w:t>
      </w:r>
    </w:p>
    <w:p w14:paraId="22ACA877" w14:textId="09DFFB71" w:rsidR="00864018" w:rsidRPr="00864018" w:rsidRDefault="00864018" w:rsidP="00864018">
      <w:pPr>
        <w:pStyle w:val="Ttulo1"/>
        <w:spacing w:before="0"/>
        <w:jc w:val="center"/>
        <w:rPr>
          <w:rFonts w:ascii="Arial" w:hAnsi="Arial" w:cs="Arial"/>
          <w:color w:val="auto"/>
          <w:sz w:val="22"/>
          <w:szCs w:val="22"/>
        </w:rPr>
      </w:pPr>
      <w:r w:rsidRPr="00864018">
        <w:rPr>
          <w:rFonts w:ascii="Arial" w:hAnsi="Arial" w:cs="Arial"/>
          <w:color w:val="auto"/>
          <w:sz w:val="22"/>
          <w:szCs w:val="22"/>
        </w:rPr>
        <w:t>LA NORMA INTERNACIONAL ISAD (G)</w:t>
      </w:r>
    </w:p>
    <w:p w14:paraId="54C7B3B2" w14:textId="77777777" w:rsidR="00864018" w:rsidRPr="00864018" w:rsidRDefault="00864018" w:rsidP="00864018">
      <w:pPr>
        <w:pStyle w:val="Ttulo1"/>
        <w:spacing w:before="0"/>
        <w:jc w:val="center"/>
        <w:rPr>
          <w:rFonts w:ascii="Arial" w:hAnsi="Arial" w:cs="Arial"/>
          <w:color w:val="auto"/>
          <w:sz w:val="22"/>
          <w:szCs w:val="22"/>
        </w:rPr>
      </w:pPr>
      <w:r w:rsidRPr="00864018">
        <w:rPr>
          <w:rFonts w:ascii="Arial" w:hAnsi="Arial" w:cs="Arial"/>
          <w:color w:val="auto"/>
          <w:sz w:val="22"/>
          <w:szCs w:val="22"/>
        </w:rPr>
        <w:t>FONDO SECRETARÍA DE GUERRA Y MARINA</w:t>
      </w:r>
    </w:p>
    <w:p w14:paraId="0C45A509" w14:textId="77777777" w:rsidR="00864018" w:rsidRPr="00864018" w:rsidRDefault="00864018" w:rsidP="00864018">
      <w:pPr>
        <w:ind w:left="360"/>
        <w:jc w:val="both"/>
        <w:rPr>
          <w:rFonts w:cs="Arial"/>
        </w:rPr>
      </w:pPr>
    </w:p>
    <w:p w14:paraId="66D8F6ED" w14:textId="77777777" w:rsidR="00864018" w:rsidRPr="00864018" w:rsidRDefault="00864018" w:rsidP="00864018">
      <w:pPr>
        <w:ind w:left="360"/>
        <w:jc w:val="both"/>
        <w:rPr>
          <w:rFonts w:cs="Arial"/>
        </w:rPr>
      </w:pPr>
    </w:p>
    <w:p w14:paraId="2C85C5D4" w14:textId="77777777" w:rsidR="00864018" w:rsidRPr="00864018" w:rsidRDefault="00864018" w:rsidP="00864018">
      <w:pPr>
        <w:numPr>
          <w:ilvl w:val="0"/>
          <w:numId w:val="11"/>
        </w:numPr>
        <w:jc w:val="both"/>
        <w:rPr>
          <w:rFonts w:cs="Arial"/>
          <w:b/>
          <w:bCs/>
        </w:rPr>
      </w:pPr>
      <w:r w:rsidRPr="00864018">
        <w:rPr>
          <w:rFonts w:cs="Arial"/>
          <w:b/>
          <w:bCs/>
        </w:rPr>
        <w:t>ÁREA DE IDENTIFICACIÓN.</w:t>
      </w:r>
    </w:p>
    <w:p w14:paraId="230326CA" w14:textId="77777777" w:rsidR="00864018" w:rsidRPr="00864018" w:rsidRDefault="00864018" w:rsidP="00864018">
      <w:pPr>
        <w:jc w:val="both"/>
        <w:rPr>
          <w:rFonts w:cs="Arial"/>
        </w:rPr>
      </w:pPr>
    </w:p>
    <w:p w14:paraId="4AF3E5E1" w14:textId="77777777" w:rsidR="00864018" w:rsidRPr="00864018" w:rsidRDefault="00864018" w:rsidP="00864018">
      <w:pPr>
        <w:pStyle w:val="Prrafodelista"/>
        <w:numPr>
          <w:ilvl w:val="1"/>
          <w:numId w:val="25"/>
        </w:numPr>
        <w:contextualSpacing/>
        <w:jc w:val="both"/>
        <w:rPr>
          <w:rFonts w:ascii="Arial" w:hAnsi="Arial" w:cs="Arial"/>
          <w:bCs/>
          <w:sz w:val="22"/>
          <w:szCs w:val="22"/>
          <w:lang w:val="es-CR"/>
        </w:rPr>
      </w:pPr>
      <w:r w:rsidRPr="00864018">
        <w:rPr>
          <w:rFonts w:ascii="Arial" w:hAnsi="Arial" w:cs="Arial"/>
          <w:b/>
          <w:bCs/>
          <w:sz w:val="22"/>
          <w:szCs w:val="22"/>
          <w:lang w:val="es-CR"/>
        </w:rPr>
        <w:t xml:space="preserve">CÓDIGO DE REFERENCIA: </w:t>
      </w:r>
      <w:r w:rsidRPr="00864018">
        <w:rPr>
          <w:rFonts w:ascii="Arial" w:hAnsi="Arial" w:cs="Arial"/>
          <w:bCs/>
          <w:sz w:val="22"/>
          <w:szCs w:val="22"/>
          <w:lang w:val="es-CR"/>
        </w:rPr>
        <w:t>CR-AN-AH-SECGYM-000001-013573</w:t>
      </w:r>
    </w:p>
    <w:p w14:paraId="09C6C20E" w14:textId="77777777" w:rsidR="00864018" w:rsidRPr="00864018" w:rsidRDefault="00864018" w:rsidP="00864018">
      <w:pPr>
        <w:jc w:val="both"/>
        <w:rPr>
          <w:rFonts w:cs="Arial"/>
        </w:rPr>
      </w:pPr>
    </w:p>
    <w:p w14:paraId="290F5A58" w14:textId="77777777" w:rsidR="00864018" w:rsidRPr="00864018" w:rsidRDefault="00864018" w:rsidP="00864018">
      <w:pPr>
        <w:pStyle w:val="Prrafodelista"/>
        <w:numPr>
          <w:ilvl w:val="1"/>
          <w:numId w:val="25"/>
        </w:numPr>
        <w:contextualSpacing/>
        <w:jc w:val="both"/>
        <w:rPr>
          <w:rFonts w:ascii="Arial" w:hAnsi="Arial" w:cs="Arial"/>
          <w:b/>
          <w:bCs/>
          <w:sz w:val="22"/>
          <w:szCs w:val="22"/>
          <w:lang w:val="es-CR"/>
        </w:rPr>
      </w:pPr>
      <w:r w:rsidRPr="00864018">
        <w:rPr>
          <w:rFonts w:ascii="Arial" w:hAnsi="Arial" w:cs="Arial"/>
          <w:b/>
          <w:bCs/>
          <w:sz w:val="22"/>
          <w:szCs w:val="22"/>
          <w:lang w:val="es-CR"/>
        </w:rPr>
        <w:t>TÍTULO:</w:t>
      </w:r>
      <w:r w:rsidRPr="00864018">
        <w:rPr>
          <w:rFonts w:ascii="Arial" w:hAnsi="Arial" w:cs="Arial"/>
          <w:bCs/>
          <w:sz w:val="22"/>
          <w:szCs w:val="22"/>
          <w:lang w:val="es-CR"/>
        </w:rPr>
        <w:t xml:space="preserve"> Secretaría de Guerra y Marina</w:t>
      </w:r>
    </w:p>
    <w:p w14:paraId="4D09B1D8" w14:textId="77777777" w:rsidR="00864018" w:rsidRPr="00864018" w:rsidRDefault="00864018" w:rsidP="00864018">
      <w:pPr>
        <w:jc w:val="both"/>
        <w:rPr>
          <w:rFonts w:cs="Arial"/>
        </w:rPr>
      </w:pPr>
    </w:p>
    <w:p w14:paraId="07F87713" w14:textId="77777777" w:rsidR="00864018" w:rsidRPr="00864018" w:rsidRDefault="00864018" w:rsidP="00864018">
      <w:pPr>
        <w:numPr>
          <w:ilvl w:val="1"/>
          <w:numId w:val="25"/>
        </w:numPr>
        <w:jc w:val="both"/>
        <w:rPr>
          <w:rFonts w:cs="Arial"/>
          <w:b/>
          <w:bCs/>
        </w:rPr>
      </w:pPr>
      <w:r w:rsidRPr="00864018">
        <w:rPr>
          <w:rFonts w:cs="Arial"/>
          <w:b/>
          <w:bCs/>
        </w:rPr>
        <w:t xml:space="preserve">FECHAS (S): </w:t>
      </w:r>
      <w:r w:rsidRPr="00864018">
        <w:rPr>
          <w:rFonts w:cs="Arial"/>
          <w:bCs/>
        </w:rPr>
        <w:t>1820 1972</w:t>
      </w:r>
    </w:p>
    <w:p w14:paraId="61FCD1F1" w14:textId="77777777" w:rsidR="00864018" w:rsidRPr="00864018" w:rsidRDefault="00864018" w:rsidP="00864018">
      <w:pPr>
        <w:jc w:val="both"/>
        <w:rPr>
          <w:rFonts w:cs="Arial"/>
        </w:rPr>
      </w:pPr>
    </w:p>
    <w:p w14:paraId="3B0EF3AD" w14:textId="77777777" w:rsidR="00864018" w:rsidRPr="00864018" w:rsidRDefault="00864018" w:rsidP="00864018">
      <w:pPr>
        <w:numPr>
          <w:ilvl w:val="1"/>
          <w:numId w:val="25"/>
        </w:numPr>
        <w:jc w:val="both"/>
        <w:rPr>
          <w:rFonts w:cs="Arial"/>
          <w:b/>
          <w:bCs/>
        </w:rPr>
      </w:pPr>
      <w:r w:rsidRPr="00864018">
        <w:rPr>
          <w:rFonts w:cs="Arial"/>
          <w:b/>
          <w:bCs/>
        </w:rPr>
        <w:t>NIVEL DE DESCRIPCIÓN:</w:t>
      </w:r>
      <w:r w:rsidRPr="00864018">
        <w:rPr>
          <w:rFonts w:cs="Arial"/>
          <w:bCs/>
        </w:rPr>
        <w:t xml:space="preserve"> Fondo</w:t>
      </w:r>
    </w:p>
    <w:p w14:paraId="47A7079E" w14:textId="77777777" w:rsidR="00864018" w:rsidRPr="00864018" w:rsidRDefault="00864018" w:rsidP="00864018">
      <w:pPr>
        <w:pStyle w:val="Prrafodelista"/>
        <w:jc w:val="both"/>
        <w:rPr>
          <w:rFonts w:ascii="Arial" w:hAnsi="Arial" w:cs="Arial"/>
          <w:b/>
          <w:bCs/>
          <w:sz w:val="22"/>
          <w:szCs w:val="22"/>
          <w:lang w:val="es-CR"/>
        </w:rPr>
      </w:pPr>
    </w:p>
    <w:p w14:paraId="6DDC1515" w14:textId="77777777" w:rsidR="00864018" w:rsidRPr="00864018" w:rsidRDefault="00864018" w:rsidP="00864018">
      <w:pPr>
        <w:numPr>
          <w:ilvl w:val="1"/>
          <w:numId w:val="25"/>
        </w:numPr>
        <w:jc w:val="both"/>
        <w:rPr>
          <w:rFonts w:cs="Arial"/>
          <w:b/>
          <w:bCs/>
        </w:rPr>
      </w:pPr>
      <w:r w:rsidRPr="00864018">
        <w:rPr>
          <w:rFonts w:cs="Arial"/>
          <w:b/>
          <w:bCs/>
        </w:rPr>
        <w:t xml:space="preserve">VOLUMEN Y SOPORTE DE LA UNIDAD DE DESCRIPCIÓN: </w:t>
      </w:r>
      <w:r w:rsidRPr="00864018">
        <w:rPr>
          <w:rFonts w:cs="Arial"/>
          <w:bCs/>
        </w:rPr>
        <w:t>93</w:t>
      </w:r>
      <w:r w:rsidRPr="00864018">
        <w:rPr>
          <w:rFonts w:cs="Arial"/>
          <w:lang w:val="es-ES_tradnl"/>
        </w:rPr>
        <w:t>.45 m (770 documentos fuera de caja + 703  cajas = 13573 unidades documentales). Soporte papel.</w:t>
      </w:r>
    </w:p>
    <w:p w14:paraId="2F21BAEB" w14:textId="77777777" w:rsidR="00864018" w:rsidRPr="00864018" w:rsidRDefault="00864018" w:rsidP="00864018">
      <w:pPr>
        <w:jc w:val="both"/>
        <w:rPr>
          <w:rFonts w:cs="Arial"/>
        </w:rPr>
      </w:pPr>
    </w:p>
    <w:p w14:paraId="3C0C9F9D" w14:textId="77777777" w:rsidR="00864018" w:rsidRPr="00864018" w:rsidRDefault="00864018" w:rsidP="00864018">
      <w:pPr>
        <w:jc w:val="both"/>
        <w:rPr>
          <w:rFonts w:cs="Arial"/>
        </w:rPr>
      </w:pPr>
    </w:p>
    <w:p w14:paraId="4B54267F" w14:textId="77777777" w:rsidR="00864018" w:rsidRPr="00864018" w:rsidRDefault="00864018" w:rsidP="00864018">
      <w:pPr>
        <w:jc w:val="both"/>
        <w:rPr>
          <w:rFonts w:cs="Arial"/>
          <w:b/>
          <w:bCs/>
        </w:rPr>
      </w:pPr>
      <w:r w:rsidRPr="00864018">
        <w:rPr>
          <w:rFonts w:cs="Arial"/>
          <w:b/>
          <w:bCs/>
        </w:rPr>
        <w:t>2. ÁREA DE CONTEXTO.</w:t>
      </w:r>
    </w:p>
    <w:p w14:paraId="7655B584" w14:textId="77777777" w:rsidR="00864018" w:rsidRPr="00864018" w:rsidRDefault="00864018" w:rsidP="00864018">
      <w:pPr>
        <w:jc w:val="both"/>
        <w:rPr>
          <w:rFonts w:cs="Arial"/>
        </w:rPr>
      </w:pPr>
    </w:p>
    <w:p w14:paraId="512191EC" w14:textId="77777777" w:rsidR="00864018" w:rsidRPr="00864018" w:rsidRDefault="00864018" w:rsidP="00864018">
      <w:pPr>
        <w:pStyle w:val="Prrafodelista"/>
        <w:numPr>
          <w:ilvl w:val="1"/>
          <w:numId w:val="26"/>
        </w:numPr>
        <w:contextualSpacing/>
        <w:jc w:val="both"/>
        <w:rPr>
          <w:rFonts w:ascii="Arial" w:hAnsi="Arial" w:cs="Arial"/>
          <w:sz w:val="22"/>
          <w:szCs w:val="22"/>
        </w:rPr>
      </w:pPr>
      <w:r w:rsidRPr="00864018">
        <w:rPr>
          <w:rFonts w:ascii="Arial" w:hAnsi="Arial" w:cs="Arial"/>
          <w:b/>
          <w:bCs/>
          <w:sz w:val="22"/>
          <w:szCs w:val="22"/>
          <w:lang w:val="es-CR"/>
        </w:rPr>
        <w:t xml:space="preserve">NOMBRE DEL O DE LOS PRODUCTOR (ES) / COLECCIONISTA (S): </w:t>
      </w:r>
      <w:r w:rsidRPr="00864018">
        <w:rPr>
          <w:rFonts w:ascii="Arial" w:hAnsi="Arial" w:cs="Arial"/>
          <w:bCs/>
          <w:sz w:val="22"/>
          <w:szCs w:val="22"/>
          <w:lang w:val="es-CR"/>
        </w:rPr>
        <w:t>Secretaría de Guerra y Marina,</w:t>
      </w:r>
      <w:r w:rsidRPr="00864018">
        <w:rPr>
          <w:rFonts w:ascii="Arial" w:hAnsi="Arial" w:cs="Arial"/>
          <w:b/>
          <w:bCs/>
          <w:sz w:val="22"/>
          <w:szCs w:val="22"/>
          <w:lang w:val="es-CR"/>
        </w:rPr>
        <w:t xml:space="preserve"> </w:t>
      </w:r>
      <w:r w:rsidRPr="00864018">
        <w:rPr>
          <w:rFonts w:ascii="Arial" w:hAnsi="Arial" w:cs="Arial"/>
          <w:bCs/>
          <w:sz w:val="22"/>
          <w:szCs w:val="22"/>
          <w:lang w:val="es-CR"/>
        </w:rPr>
        <w:t>Ministerio de Guerra y Marina, Secretaría de Guerra.</w:t>
      </w:r>
    </w:p>
    <w:p w14:paraId="0FE7E613" w14:textId="77777777" w:rsidR="00864018" w:rsidRPr="00864018" w:rsidRDefault="00864018" w:rsidP="00864018">
      <w:pPr>
        <w:jc w:val="both"/>
        <w:rPr>
          <w:rFonts w:cs="Arial"/>
        </w:rPr>
      </w:pPr>
    </w:p>
    <w:p w14:paraId="4E722A7D" w14:textId="77777777" w:rsidR="00864018" w:rsidRPr="00864018" w:rsidRDefault="00864018" w:rsidP="00864018">
      <w:pPr>
        <w:pStyle w:val="Prrafodelista"/>
        <w:numPr>
          <w:ilvl w:val="1"/>
          <w:numId w:val="26"/>
        </w:numPr>
        <w:tabs>
          <w:tab w:val="num" w:pos="704"/>
        </w:tabs>
        <w:ind w:left="0" w:firstLine="0"/>
        <w:contextualSpacing/>
        <w:jc w:val="both"/>
        <w:rPr>
          <w:rFonts w:ascii="Arial" w:hAnsi="Arial" w:cs="Arial"/>
          <w:sz w:val="22"/>
          <w:szCs w:val="22"/>
          <w:lang w:val="es-CR"/>
        </w:rPr>
      </w:pPr>
      <w:r w:rsidRPr="00864018">
        <w:rPr>
          <w:rFonts w:ascii="Arial" w:hAnsi="Arial" w:cs="Arial"/>
          <w:b/>
          <w:bCs/>
          <w:sz w:val="22"/>
          <w:szCs w:val="22"/>
          <w:lang w:val="es-CR"/>
        </w:rPr>
        <w:t xml:space="preserve"> HISTORIA INSTITUCIONAL / RESEÑA BIOGRÁFICA: </w:t>
      </w:r>
      <w:r w:rsidRPr="00864018">
        <w:rPr>
          <w:rFonts w:ascii="Arial" w:hAnsi="Arial" w:cs="Arial"/>
          <w:sz w:val="22"/>
          <w:szCs w:val="22"/>
          <w:lang w:val="es-CR"/>
        </w:rPr>
        <w:t>En 1822, en la organización de la Junta Gubernativa se dispuso la existencia de una Comisión Militar a cargo de un Comandante; lo mismo en 1823, con el Segundo Estatuto de la Junta Superior Gubernativa se da la permanencia de esta Comisión, estando a su cargo el Comandante General de las Armas.</w:t>
      </w:r>
    </w:p>
    <w:p w14:paraId="0CD4D11C" w14:textId="77777777" w:rsidR="00864018" w:rsidRPr="00864018" w:rsidRDefault="00864018" w:rsidP="00864018">
      <w:pPr>
        <w:jc w:val="both"/>
        <w:rPr>
          <w:rFonts w:cs="Arial"/>
        </w:rPr>
      </w:pPr>
    </w:p>
    <w:p w14:paraId="5B66CE86" w14:textId="77777777" w:rsidR="00864018" w:rsidRPr="00864018" w:rsidRDefault="00864018" w:rsidP="00864018">
      <w:pPr>
        <w:jc w:val="both"/>
        <w:rPr>
          <w:rFonts w:cs="Arial"/>
        </w:rPr>
      </w:pPr>
      <w:r w:rsidRPr="00864018">
        <w:rPr>
          <w:rFonts w:cs="Arial"/>
        </w:rPr>
        <w:t>La Secretaría de Guerra y Marina fue creada en el año de 1844. De esta manera la Constitución Política del Estado de Costa Rica del 09 de abril de 1844, en su artículo 136, sección tercera estableció: De los Ministros de Despacho, dispuso que para el despacho de los negocios se establecieran dos Ministerios: el de Gobernación y Relaciones interiores y exteriores; y el de Hacienda y Guerra, con atribuciones en la marina en lo que corresponde al Estado. Las resoluciones, órdenes o decretos del Poder Ejecutivo se comunicarían a través del ministro respectivo. Cada uno de los ministros formaría la planta de su despacho, sujetándola a la aprobación de Senado, si la Cámara de Representantes no estuviese reunida.</w:t>
      </w:r>
    </w:p>
    <w:p w14:paraId="120DE318" w14:textId="77777777" w:rsidR="00864018" w:rsidRPr="00864018" w:rsidRDefault="00864018" w:rsidP="00864018">
      <w:pPr>
        <w:jc w:val="both"/>
        <w:rPr>
          <w:rFonts w:cs="Arial"/>
        </w:rPr>
      </w:pPr>
    </w:p>
    <w:p w14:paraId="39CDBF39" w14:textId="77777777" w:rsidR="00864018" w:rsidRPr="00864018" w:rsidRDefault="00864018" w:rsidP="00864018">
      <w:pPr>
        <w:jc w:val="both"/>
        <w:rPr>
          <w:rFonts w:cs="Arial"/>
        </w:rPr>
      </w:pPr>
      <w:r w:rsidRPr="00864018">
        <w:rPr>
          <w:rFonts w:cs="Arial"/>
        </w:rPr>
        <w:t>A lo largo de los años de existencia, desde su conformación hasta su transformación (evidenciado en la mayoría de los casos mediante el desarrollo constitucional del país), Guerra y Marina en su calidad de cartera o despacho ministerial estuvo adherida a diversos ministerios o dependencias que se fueron creando, tales como: Ministerio de Hacienda y Guerra; Ministerio de Hacienda, Educación Pública, Guerra y Marina; Secretaría de Estado en Despacho de Hacienda, Guerra y Marina; Secretaría de Estado en los Departamentos de Hacienda, Guerra, Marina y Caminos; Secretaría de Estado en Despacho de Gobernación, Guerra, Justicia, Fomento y Marina; Cartera</w:t>
      </w:r>
      <w:r w:rsidRPr="00864018">
        <w:rPr>
          <w:rFonts w:cs="Arial"/>
          <w:bCs/>
        </w:rPr>
        <w:t xml:space="preserve"> de Guerra y Policía Militar, Cartera de Guerra, Secretaría de Estado </w:t>
      </w:r>
      <w:r w:rsidRPr="00864018">
        <w:rPr>
          <w:rFonts w:cs="Arial"/>
          <w:bCs/>
        </w:rPr>
        <w:lastRenderedPageBreak/>
        <w:t>en Despacho de Guerra y Marina; e incluso en algunas oportunidades se le llegó a conocer con el grado de Ministerio de Guerra y Marina o bien como Ministerio de la Guerra; pero en la mayoría de los casos se le dio el título de Secretaría.</w:t>
      </w:r>
    </w:p>
    <w:p w14:paraId="252DCDB1" w14:textId="77777777" w:rsidR="00864018" w:rsidRPr="00864018" w:rsidRDefault="00864018" w:rsidP="00864018">
      <w:pPr>
        <w:jc w:val="both"/>
        <w:rPr>
          <w:rFonts w:cs="Arial"/>
          <w:highlight w:val="green"/>
        </w:rPr>
      </w:pPr>
    </w:p>
    <w:p w14:paraId="6938CCED" w14:textId="77777777" w:rsidR="00864018" w:rsidRPr="00864018" w:rsidRDefault="00864018" w:rsidP="00864018">
      <w:pPr>
        <w:jc w:val="both"/>
        <w:rPr>
          <w:rFonts w:cs="Arial"/>
        </w:rPr>
      </w:pPr>
      <w:r w:rsidRPr="00864018">
        <w:rPr>
          <w:rFonts w:cs="Arial"/>
        </w:rPr>
        <w:t>El 03 de agosto de 1922, el Presidente de la República de Costa Rica, Julio Acosta García, teniendo en cuenta que la denominación de Secretaría de Estado en el Despacho de Guerra y Marina, no armonizaba con la índole del pueblo costarricense, ni con las tendencias modernas de eliminar todo procedimiento belicoso al dirimir sus diferencias, ni concordaba, en punto a Marina, con la esencia efectiva del país en el particular ni con lo que el mismo necesitaba, decretó: que esta secretaría en adelante se denominará Secretaría de Estado en el Despacho de Seguridad Publica, debiéndose tener como disposiciones de este Despacho, todas las oficinas procedentes hasta hoy de la Secretaría de Guerra y Marina.</w:t>
      </w:r>
    </w:p>
    <w:p w14:paraId="431A80D5" w14:textId="77777777" w:rsidR="00864018" w:rsidRPr="00864018" w:rsidRDefault="00864018" w:rsidP="00864018">
      <w:pPr>
        <w:jc w:val="both"/>
        <w:rPr>
          <w:rFonts w:cs="Arial"/>
        </w:rPr>
      </w:pPr>
    </w:p>
    <w:p w14:paraId="6ACD31F6" w14:textId="77777777" w:rsidR="00864018" w:rsidRPr="00864018" w:rsidRDefault="00864018" w:rsidP="00864018">
      <w:pPr>
        <w:numPr>
          <w:ilvl w:val="1"/>
          <w:numId w:val="26"/>
        </w:numPr>
        <w:tabs>
          <w:tab w:val="num" w:pos="704"/>
        </w:tabs>
        <w:ind w:left="0" w:firstLine="0"/>
        <w:jc w:val="both"/>
        <w:rPr>
          <w:rFonts w:cs="Arial"/>
        </w:rPr>
      </w:pPr>
      <w:r w:rsidRPr="00864018">
        <w:rPr>
          <w:rFonts w:cs="Arial"/>
          <w:b/>
          <w:bCs/>
        </w:rPr>
        <w:t xml:space="preserve">HISTORIA ARCHIVÍSTICA: </w:t>
      </w:r>
      <w:r w:rsidRPr="00864018">
        <w:rPr>
          <w:rFonts w:cs="Arial"/>
          <w:bCs/>
        </w:rPr>
        <w:t xml:space="preserve">Los documentos que conforman este fondo se recibieron en el Archivo Nacional desde principios del siglo XX mediante transferencias gubernamentales. </w:t>
      </w:r>
      <w:r w:rsidRPr="00864018">
        <w:rPr>
          <w:rFonts w:cs="Arial"/>
        </w:rPr>
        <w:t>En este la información está comprendida entre las fechas extremas de los años 1820 a 1972. Estas fechas van más allá del período histórico en que existió la Secretaría de Guerra y Marina; y es recomendable que el investigador consulte también el fondo Seguridad Pública para relacionar, complementar y ampliar la información.</w:t>
      </w:r>
    </w:p>
    <w:p w14:paraId="5D028840" w14:textId="77777777" w:rsidR="00864018" w:rsidRPr="00864018" w:rsidRDefault="00864018" w:rsidP="00864018">
      <w:pPr>
        <w:jc w:val="both"/>
        <w:rPr>
          <w:rFonts w:cs="Arial"/>
        </w:rPr>
      </w:pPr>
    </w:p>
    <w:p w14:paraId="4531F004" w14:textId="77777777" w:rsidR="00864018" w:rsidRPr="00864018" w:rsidRDefault="00864018" w:rsidP="00864018">
      <w:pPr>
        <w:jc w:val="both"/>
        <w:rPr>
          <w:rFonts w:cs="Arial"/>
          <w:bCs/>
        </w:rPr>
      </w:pPr>
      <w:r w:rsidRPr="00864018">
        <w:rPr>
          <w:rFonts w:cs="Arial"/>
          <w:bCs/>
        </w:rPr>
        <w:t xml:space="preserve">Este fondo cuenta con los documentos signaturas 8821 (año 1856) y 9836 (año 1891) microfilmados. El primero se refiere a cartas sobre el enfrentamiento del ejército costarricense contra William Walker; y el segundo consiste en información ad </w:t>
      </w:r>
      <w:proofErr w:type="spellStart"/>
      <w:r w:rsidRPr="00864018">
        <w:rPr>
          <w:rFonts w:cs="Arial"/>
          <w:bCs/>
        </w:rPr>
        <w:t>perpetuam</w:t>
      </w:r>
      <w:proofErr w:type="spellEnd"/>
      <w:r w:rsidRPr="00864018">
        <w:rPr>
          <w:rFonts w:cs="Arial"/>
          <w:bCs/>
        </w:rPr>
        <w:t xml:space="preserve"> sobre los hechos de Juan Santamaría en la Batalla de Rivas.</w:t>
      </w:r>
    </w:p>
    <w:p w14:paraId="27D1B175" w14:textId="77777777" w:rsidR="00864018" w:rsidRPr="00864018" w:rsidRDefault="00864018" w:rsidP="00864018">
      <w:pPr>
        <w:jc w:val="both"/>
        <w:rPr>
          <w:rFonts w:cs="Arial"/>
          <w:bCs/>
        </w:rPr>
      </w:pPr>
    </w:p>
    <w:p w14:paraId="32918D7A" w14:textId="77777777" w:rsidR="00864018" w:rsidRPr="00864018" w:rsidRDefault="00864018" w:rsidP="00864018">
      <w:pPr>
        <w:jc w:val="both"/>
        <w:rPr>
          <w:rFonts w:cs="Arial"/>
          <w:bCs/>
        </w:rPr>
      </w:pPr>
      <w:r w:rsidRPr="00864018">
        <w:rPr>
          <w:rFonts w:cs="Arial"/>
          <w:bCs/>
        </w:rPr>
        <w:t xml:space="preserve">Dentro de este fondo se conservan 11 documentos (signaturas 13487-13497) de correspondencia del Ministro de Guerra José Joaquín Tinoco Granados producidos en los años 1918 y 1919 durante el gobierno de su hermano Federico. Estos documentos fueron encontrados en el Ministerio de Relaciones Exteriores de Brasil (se presume que familiares los llevaron a éste) y luego se remitieron a su homólogo de Costa Rica, transfiriéndose al Archivo Nacional en el año 1983. </w:t>
      </w:r>
    </w:p>
    <w:p w14:paraId="14ED4F19" w14:textId="77777777" w:rsidR="00864018" w:rsidRPr="00864018" w:rsidRDefault="00864018" w:rsidP="00864018">
      <w:pPr>
        <w:jc w:val="both"/>
        <w:rPr>
          <w:rFonts w:cs="Arial"/>
          <w:bCs/>
        </w:rPr>
      </w:pPr>
    </w:p>
    <w:p w14:paraId="6F003A63" w14:textId="77777777" w:rsidR="00864018" w:rsidRPr="00864018" w:rsidRDefault="00864018" w:rsidP="00864018">
      <w:pPr>
        <w:jc w:val="both"/>
        <w:rPr>
          <w:rFonts w:cs="Arial"/>
          <w:bCs/>
        </w:rPr>
      </w:pPr>
      <w:r w:rsidRPr="00864018">
        <w:rPr>
          <w:rFonts w:cs="Arial"/>
          <w:bCs/>
        </w:rPr>
        <w:t>De acuerdo con el registro de transferencias (1900-1962) de la Sala de Consulta, Departamento Archivo Histórico,  entre los años 1912 y 1914 se reportan las primeras transferencias de la Secretaría de Guerra y Marina.</w:t>
      </w:r>
    </w:p>
    <w:p w14:paraId="76CCCCAA" w14:textId="77777777" w:rsidR="00864018" w:rsidRPr="00864018" w:rsidRDefault="00864018" w:rsidP="00864018">
      <w:pPr>
        <w:ind w:left="420"/>
        <w:jc w:val="both"/>
        <w:rPr>
          <w:rFonts w:cs="Arial"/>
          <w:bCs/>
        </w:rPr>
      </w:pPr>
    </w:p>
    <w:p w14:paraId="3E73925B" w14:textId="77777777" w:rsidR="00AF5FF3" w:rsidRDefault="00864018" w:rsidP="00864018">
      <w:pPr>
        <w:jc w:val="both"/>
        <w:rPr>
          <w:rFonts w:cs="Arial"/>
          <w:bCs/>
        </w:rPr>
      </w:pPr>
      <w:r w:rsidRPr="00864018">
        <w:rPr>
          <w:rFonts w:cs="Arial"/>
          <w:b/>
          <w:bCs/>
        </w:rPr>
        <w:t>2.4 FORMA DE INGRESO:</w:t>
      </w:r>
      <w:r w:rsidRPr="00864018">
        <w:rPr>
          <w:rFonts w:cs="Arial"/>
          <w:bCs/>
        </w:rPr>
        <w:t xml:space="preserve"> Transferencia.</w:t>
      </w:r>
    </w:p>
    <w:p w14:paraId="629C41E5" w14:textId="72C28579" w:rsidR="00864018" w:rsidRPr="00864018" w:rsidRDefault="00AF5FF3" w:rsidP="00864018">
      <w:pPr>
        <w:jc w:val="both"/>
        <w:rPr>
          <w:rFonts w:cs="Arial"/>
        </w:rPr>
      </w:pPr>
      <w:r w:rsidRPr="00864018">
        <w:rPr>
          <w:rFonts w:cs="Arial"/>
        </w:rPr>
        <w:t xml:space="preserve"> </w:t>
      </w:r>
    </w:p>
    <w:p w14:paraId="1F98D046" w14:textId="77777777" w:rsidR="00864018" w:rsidRPr="00864018" w:rsidRDefault="00864018" w:rsidP="00864018">
      <w:pPr>
        <w:jc w:val="both"/>
        <w:rPr>
          <w:rFonts w:cs="Arial"/>
          <w:b/>
          <w:bCs/>
        </w:rPr>
      </w:pPr>
      <w:r w:rsidRPr="00864018">
        <w:rPr>
          <w:rFonts w:cs="Arial"/>
          <w:b/>
          <w:bCs/>
        </w:rPr>
        <w:t>3. ÁREA DE CONTENIDO Y ESTRUCTURA.</w:t>
      </w:r>
    </w:p>
    <w:p w14:paraId="447ADE5A" w14:textId="77777777" w:rsidR="00864018" w:rsidRPr="00864018" w:rsidRDefault="00864018" w:rsidP="00864018">
      <w:pPr>
        <w:tabs>
          <w:tab w:val="num" w:pos="704"/>
        </w:tabs>
        <w:jc w:val="both"/>
        <w:rPr>
          <w:rFonts w:cs="Arial"/>
        </w:rPr>
      </w:pPr>
    </w:p>
    <w:p w14:paraId="38B10321" w14:textId="77777777" w:rsidR="00864018" w:rsidRPr="00864018" w:rsidRDefault="00864018" w:rsidP="00864018">
      <w:pPr>
        <w:tabs>
          <w:tab w:val="num" w:pos="704"/>
        </w:tabs>
        <w:jc w:val="both"/>
        <w:rPr>
          <w:rFonts w:cs="Arial"/>
          <w:color w:val="000000"/>
          <w:lang w:val="es-ES" w:eastAsia="es-CR"/>
        </w:rPr>
      </w:pPr>
      <w:r w:rsidRPr="00864018">
        <w:rPr>
          <w:rFonts w:cs="Arial"/>
          <w:b/>
          <w:bCs/>
        </w:rPr>
        <w:t>3.1 ALCANCE Y CONTENIDO:</w:t>
      </w:r>
      <w:r w:rsidRPr="00864018">
        <w:rPr>
          <w:rFonts w:cs="Arial"/>
          <w:color w:val="000000"/>
          <w:lang w:eastAsia="es-CR"/>
        </w:rPr>
        <w:t xml:space="preserve"> </w:t>
      </w:r>
      <w:r w:rsidRPr="00864018">
        <w:rPr>
          <w:rFonts w:cs="Arial"/>
          <w:bCs/>
        </w:rPr>
        <w:t>En este fondo podemos encontrar tipos documentales como: cartas, actas, facturas, recibos, órdenes de trabajo, listados, comprobantes de pago y gastos, registros, solicitudes, notas,  correspondencia, telegramas, cuadros estadísticos, libros contables, contratos, informes, memorias, presupuestos, órdenes de pago, inventarios y acuerdos.</w:t>
      </w:r>
    </w:p>
    <w:p w14:paraId="79D1DA0F" w14:textId="77777777" w:rsidR="00864018" w:rsidRPr="00864018" w:rsidRDefault="00864018" w:rsidP="00864018">
      <w:pPr>
        <w:jc w:val="both"/>
        <w:rPr>
          <w:rFonts w:cs="Arial"/>
          <w:bCs/>
        </w:rPr>
      </w:pPr>
    </w:p>
    <w:p w14:paraId="02A75FD3" w14:textId="77777777" w:rsidR="00864018" w:rsidRPr="00864018" w:rsidRDefault="00864018" w:rsidP="00864018">
      <w:pPr>
        <w:jc w:val="both"/>
        <w:rPr>
          <w:rFonts w:cs="Arial"/>
          <w:bCs/>
        </w:rPr>
      </w:pPr>
      <w:r w:rsidRPr="00864018">
        <w:rPr>
          <w:rFonts w:cs="Arial"/>
          <w:bCs/>
        </w:rPr>
        <w:t xml:space="preserve">Este fondo se destaca por ser uno de los más grandes del Archivo Nacional, y la temática es muy variada, sobresalen entre otros temas: ejército, filiaciones de soldados, pensiones, cuarteles, batallones, gaceta militar, Guerra de Coto, campañas contra los filibusteros, </w:t>
      </w:r>
      <w:r w:rsidRPr="00864018">
        <w:rPr>
          <w:rFonts w:cs="Arial"/>
          <w:bCs/>
        </w:rPr>
        <w:lastRenderedPageBreak/>
        <w:t>soldados, combates, invasiones, capitanías de puertos, barcos, movimiento marítimo, policía, juicios militares, golpes de Estado, condecoraciones, pena de muerte, vapores, instrumentos musicales, cargos militares, castigos, rebeliones, levantamientos, quejas, guarniciones, solicitudes varias, certificados médicos, legislación militar, organización del ejército, código militar, almacenes de fábrica, servicio militar, bandas militares, escuelas de música, marina, navegación, faros, biblioteca militar, academias militares, armamento, vestuario, instrumentos, edificios, capitanías, movimiento marítimo,  educación, puertos,  presidio San Lucas,  Primera Guerra Mundial, artillería, almacenes de guerra,   comandancias, uniformes, administración militar, Guerra de la Liga, Isla del Coco, Guerra de Coto, Juan Santamaría, Juan Rafael Mora Porras  y correspondencia del ministro Joaquín Tinoco Granados.</w:t>
      </w:r>
    </w:p>
    <w:p w14:paraId="6A13C431" w14:textId="77777777" w:rsidR="00864018" w:rsidRPr="00864018" w:rsidRDefault="00864018" w:rsidP="00864018">
      <w:pPr>
        <w:jc w:val="both"/>
        <w:rPr>
          <w:rFonts w:cs="Arial"/>
        </w:rPr>
      </w:pPr>
    </w:p>
    <w:p w14:paraId="135A81E5" w14:textId="77777777" w:rsidR="00864018" w:rsidRPr="00864018" w:rsidRDefault="00864018" w:rsidP="00864018">
      <w:pPr>
        <w:jc w:val="both"/>
        <w:rPr>
          <w:rFonts w:cs="Arial"/>
        </w:rPr>
      </w:pPr>
      <w:r w:rsidRPr="00864018">
        <w:rPr>
          <w:rFonts w:cs="Arial"/>
          <w:b/>
          <w:bCs/>
        </w:rPr>
        <w:t xml:space="preserve">3.2 VALORACIÓN, SELECCIÓN Y ELIMINACIÓN: </w:t>
      </w:r>
      <w:r w:rsidRPr="00864018">
        <w:rPr>
          <w:rFonts w:cs="Arial"/>
          <w:lang w:val="es-ES_tradnl"/>
        </w:rPr>
        <w:t>Conservación permanente. V</w:t>
      </w:r>
      <w:r w:rsidRPr="00864018">
        <w:rPr>
          <w:rFonts w:cs="Arial"/>
        </w:rPr>
        <w:t>alorado de conformidad mediante la Ley 3661 del Archivo Nacional del 10 de enero de 1966.</w:t>
      </w:r>
    </w:p>
    <w:p w14:paraId="1235DC80" w14:textId="77777777" w:rsidR="00864018" w:rsidRPr="00864018" w:rsidRDefault="00864018" w:rsidP="00864018">
      <w:pPr>
        <w:jc w:val="both"/>
        <w:rPr>
          <w:rFonts w:cs="Arial"/>
        </w:rPr>
      </w:pPr>
    </w:p>
    <w:p w14:paraId="3758D7B8" w14:textId="77777777" w:rsidR="00864018" w:rsidRPr="00864018" w:rsidRDefault="00864018" w:rsidP="00864018">
      <w:pPr>
        <w:jc w:val="both"/>
        <w:rPr>
          <w:rFonts w:cs="Arial"/>
        </w:rPr>
      </w:pPr>
      <w:r w:rsidRPr="00864018">
        <w:rPr>
          <w:rFonts w:cs="Arial"/>
          <w:b/>
          <w:bCs/>
        </w:rPr>
        <w:t xml:space="preserve">3.3 NUEVOS INGRESOS: </w:t>
      </w:r>
      <w:r w:rsidRPr="00864018">
        <w:rPr>
          <w:rFonts w:cs="Arial"/>
          <w:bCs/>
        </w:rPr>
        <w:t>Fondo cerrado.</w:t>
      </w:r>
    </w:p>
    <w:p w14:paraId="665870AE" w14:textId="77777777" w:rsidR="00864018" w:rsidRPr="00864018" w:rsidRDefault="00864018" w:rsidP="00864018">
      <w:pPr>
        <w:jc w:val="both"/>
        <w:rPr>
          <w:rFonts w:cs="Arial"/>
        </w:rPr>
      </w:pPr>
    </w:p>
    <w:p w14:paraId="69E79DF2" w14:textId="77777777" w:rsidR="00864018" w:rsidRPr="00864018" w:rsidRDefault="00864018" w:rsidP="00864018">
      <w:pPr>
        <w:jc w:val="both"/>
        <w:rPr>
          <w:rFonts w:cs="Arial"/>
          <w:bCs/>
        </w:rPr>
      </w:pPr>
      <w:r w:rsidRPr="00864018">
        <w:rPr>
          <w:rFonts w:cs="Arial"/>
          <w:b/>
          <w:bCs/>
        </w:rPr>
        <w:t>3.4. ORGANIZACIÓN:</w:t>
      </w:r>
      <w:r w:rsidRPr="00864018">
        <w:rPr>
          <w:rFonts w:cs="Arial"/>
        </w:rPr>
        <w:t xml:space="preserve"> </w:t>
      </w:r>
      <w:r w:rsidRPr="00864018">
        <w:rPr>
          <w:rFonts w:cs="Arial"/>
          <w:bCs/>
        </w:rPr>
        <w:t>El fondo respeta el principio de procedencia y presenta una numeración consecutiva.</w:t>
      </w:r>
    </w:p>
    <w:p w14:paraId="75A34BD7" w14:textId="77777777" w:rsidR="00864018" w:rsidRPr="00864018" w:rsidRDefault="00864018" w:rsidP="00864018">
      <w:pPr>
        <w:jc w:val="both"/>
        <w:rPr>
          <w:rFonts w:cs="Arial"/>
        </w:rPr>
      </w:pPr>
    </w:p>
    <w:p w14:paraId="14A16BC6" w14:textId="77777777" w:rsidR="00864018" w:rsidRPr="00864018" w:rsidRDefault="00864018" w:rsidP="002F1A6F">
      <w:pPr>
        <w:jc w:val="center"/>
        <w:rPr>
          <w:rFonts w:cs="Arial"/>
          <w:b/>
          <w:lang w:val="es-ES"/>
        </w:rPr>
      </w:pPr>
      <w:r w:rsidRPr="00864018">
        <w:rPr>
          <w:rFonts w:cs="Arial"/>
          <w:b/>
        </w:rPr>
        <w:t>CUADRO DE CLASIFICACIÓN DEL ARCHIVO HISTÓRICO</w:t>
      </w:r>
    </w:p>
    <w:p w14:paraId="0FB0375E" w14:textId="77777777" w:rsidR="00864018" w:rsidRPr="00864018" w:rsidRDefault="00864018" w:rsidP="00864018">
      <w:pPr>
        <w:jc w:val="both"/>
        <w:rPr>
          <w:rFonts w:cs="Arial"/>
          <w:b/>
        </w:rPr>
      </w:pPr>
    </w:p>
    <w:tbl>
      <w:tblPr>
        <w:tblStyle w:val="Tablaconcuadrcula"/>
        <w:tblW w:w="8508" w:type="dxa"/>
        <w:jc w:val="center"/>
        <w:tblLayout w:type="fixed"/>
        <w:tblLook w:val="01E0" w:firstRow="1" w:lastRow="1" w:firstColumn="1" w:lastColumn="1" w:noHBand="0" w:noVBand="0"/>
        <w:tblCaption w:val="Organización"/>
        <w:tblDescription w:val="Se muestra la organización del fondo en el Cuadro de Clasificación del Archivo Histórico"/>
      </w:tblPr>
      <w:tblGrid>
        <w:gridCol w:w="2553"/>
        <w:gridCol w:w="2126"/>
        <w:gridCol w:w="3829"/>
      </w:tblGrid>
      <w:tr w:rsidR="00864018" w:rsidRPr="00864018" w14:paraId="2A46E4CA" w14:textId="77777777" w:rsidTr="002F1A6F">
        <w:trPr>
          <w:trHeight w:val="535"/>
          <w:tblHeader/>
          <w:jc w:val="center"/>
        </w:trPr>
        <w:tc>
          <w:tcPr>
            <w:tcW w:w="2552" w:type="dxa"/>
            <w:hideMark/>
          </w:tcPr>
          <w:p w14:paraId="7648B99B" w14:textId="77777777" w:rsidR="00864018" w:rsidRPr="00864018" w:rsidRDefault="00864018" w:rsidP="002F1A6F">
            <w:pPr>
              <w:spacing w:line="256" w:lineRule="auto"/>
              <w:jc w:val="center"/>
              <w:rPr>
                <w:rFonts w:cs="Arial"/>
                <w:b/>
                <w:lang w:val="es-ES"/>
              </w:rPr>
            </w:pPr>
            <w:r w:rsidRPr="00864018">
              <w:rPr>
                <w:rFonts w:cs="Arial"/>
                <w:b/>
              </w:rPr>
              <w:t>FONDO NIVEL I</w:t>
            </w:r>
          </w:p>
        </w:tc>
        <w:tc>
          <w:tcPr>
            <w:tcW w:w="2126" w:type="dxa"/>
            <w:hideMark/>
          </w:tcPr>
          <w:p w14:paraId="5F0572CE" w14:textId="77777777" w:rsidR="00864018" w:rsidRPr="00864018" w:rsidRDefault="00864018" w:rsidP="002F1A6F">
            <w:pPr>
              <w:spacing w:line="256" w:lineRule="auto"/>
              <w:jc w:val="center"/>
              <w:rPr>
                <w:rFonts w:cs="Arial"/>
                <w:b/>
                <w:lang w:val="es-ES"/>
              </w:rPr>
            </w:pPr>
            <w:r w:rsidRPr="00864018">
              <w:rPr>
                <w:rFonts w:cs="Arial"/>
                <w:b/>
              </w:rPr>
              <w:t>SUBFONDO I</w:t>
            </w:r>
          </w:p>
        </w:tc>
        <w:tc>
          <w:tcPr>
            <w:tcW w:w="3828" w:type="dxa"/>
            <w:hideMark/>
          </w:tcPr>
          <w:p w14:paraId="6F1240A5" w14:textId="77777777" w:rsidR="00864018" w:rsidRPr="00864018" w:rsidRDefault="00864018" w:rsidP="002F1A6F">
            <w:pPr>
              <w:spacing w:line="256" w:lineRule="auto"/>
              <w:jc w:val="center"/>
              <w:rPr>
                <w:rFonts w:cs="Arial"/>
                <w:b/>
                <w:lang w:val="es-ES"/>
              </w:rPr>
            </w:pPr>
            <w:r w:rsidRPr="00864018">
              <w:rPr>
                <w:rFonts w:cs="Arial"/>
                <w:b/>
              </w:rPr>
              <w:t>SERIE</w:t>
            </w:r>
          </w:p>
        </w:tc>
      </w:tr>
      <w:tr w:rsidR="00864018" w:rsidRPr="00864018" w14:paraId="7A83C00E" w14:textId="77777777" w:rsidTr="002F1A6F">
        <w:trPr>
          <w:trHeight w:val="308"/>
          <w:jc w:val="center"/>
        </w:trPr>
        <w:tc>
          <w:tcPr>
            <w:tcW w:w="2552" w:type="dxa"/>
            <w:hideMark/>
          </w:tcPr>
          <w:p w14:paraId="7CC3F41E" w14:textId="77777777" w:rsidR="00864018" w:rsidRPr="00864018" w:rsidRDefault="00864018" w:rsidP="00864018">
            <w:pPr>
              <w:spacing w:line="256" w:lineRule="auto"/>
              <w:jc w:val="both"/>
              <w:rPr>
                <w:rFonts w:cs="Arial"/>
                <w:color w:val="000000"/>
                <w:lang w:val="es-ES"/>
              </w:rPr>
            </w:pPr>
            <w:r w:rsidRPr="00864018">
              <w:rPr>
                <w:rFonts w:cs="Arial"/>
                <w:color w:val="000000"/>
              </w:rPr>
              <w:t>Secretaría de Guerra y Marina (SECGYM)</w:t>
            </w:r>
          </w:p>
        </w:tc>
        <w:tc>
          <w:tcPr>
            <w:tcW w:w="2126" w:type="dxa"/>
            <w:hideMark/>
          </w:tcPr>
          <w:p w14:paraId="047921D5" w14:textId="77777777" w:rsidR="00864018" w:rsidRPr="00864018" w:rsidRDefault="00864018" w:rsidP="00864018">
            <w:pPr>
              <w:spacing w:line="256" w:lineRule="auto"/>
              <w:jc w:val="both"/>
              <w:rPr>
                <w:rFonts w:cs="Arial"/>
                <w:color w:val="000000"/>
                <w:lang w:val="es-ES"/>
              </w:rPr>
            </w:pPr>
            <w:r w:rsidRPr="00864018">
              <w:rPr>
                <w:rFonts w:cs="Arial"/>
                <w:color w:val="000000"/>
              </w:rPr>
              <w:t>Despacho del Secretario (DSECRE)</w:t>
            </w:r>
          </w:p>
        </w:tc>
        <w:tc>
          <w:tcPr>
            <w:tcW w:w="3828" w:type="dxa"/>
            <w:hideMark/>
          </w:tcPr>
          <w:p w14:paraId="36139077" w14:textId="77777777" w:rsidR="00864018" w:rsidRPr="00864018" w:rsidRDefault="00864018" w:rsidP="00864018">
            <w:pPr>
              <w:spacing w:line="256" w:lineRule="auto"/>
              <w:jc w:val="both"/>
              <w:rPr>
                <w:rFonts w:cs="Arial"/>
                <w:color w:val="000000"/>
                <w:lang w:val="es-ES"/>
              </w:rPr>
            </w:pPr>
            <w:r w:rsidRPr="00864018">
              <w:rPr>
                <w:rFonts w:cs="Arial"/>
                <w:color w:val="000000"/>
              </w:rPr>
              <w:t>Correspondencia(COR)</w:t>
            </w:r>
          </w:p>
          <w:p w14:paraId="279A05E4" w14:textId="77777777" w:rsidR="00864018" w:rsidRPr="00864018" w:rsidRDefault="00864018" w:rsidP="00864018">
            <w:pPr>
              <w:spacing w:line="256" w:lineRule="auto"/>
              <w:jc w:val="both"/>
              <w:rPr>
                <w:rFonts w:cs="Arial"/>
                <w:color w:val="000000"/>
              </w:rPr>
            </w:pPr>
            <w:r w:rsidRPr="00864018">
              <w:rPr>
                <w:rFonts w:cs="Arial"/>
                <w:color w:val="000000"/>
              </w:rPr>
              <w:t>-Libro de filiación de soldados (LIFISOL)</w:t>
            </w:r>
          </w:p>
          <w:p w14:paraId="5AE0BB71" w14:textId="77777777" w:rsidR="00864018" w:rsidRPr="00864018" w:rsidRDefault="00864018" w:rsidP="00864018">
            <w:pPr>
              <w:spacing w:line="256" w:lineRule="auto"/>
              <w:jc w:val="both"/>
              <w:rPr>
                <w:rFonts w:cs="Arial"/>
                <w:color w:val="000000"/>
                <w:lang w:val="es-ES"/>
              </w:rPr>
            </w:pPr>
            <w:r w:rsidRPr="00864018">
              <w:rPr>
                <w:rFonts w:cs="Arial"/>
                <w:color w:val="000000"/>
              </w:rPr>
              <w:t>-Correspondencia Joaquín Tinoco Granados (CORJOTI)</w:t>
            </w:r>
          </w:p>
        </w:tc>
      </w:tr>
    </w:tbl>
    <w:p w14:paraId="2B6BC968" w14:textId="77777777" w:rsidR="00864018" w:rsidRPr="00864018" w:rsidRDefault="00864018" w:rsidP="00864018">
      <w:pPr>
        <w:jc w:val="both"/>
        <w:rPr>
          <w:rFonts w:cs="Arial"/>
        </w:rPr>
      </w:pPr>
    </w:p>
    <w:p w14:paraId="611A590C" w14:textId="77777777" w:rsidR="00864018" w:rsidRPr="00864018" w:rsidRDefault="00864018" w:rsidP="00864018">
      <w:pPr>
        <w:jc w:val="both"/>
        <w:rPr>
          <w:rFonts w:cs="Arial"/>
        </w:rPr>
      </w:pPr>
    </w:p>
    <w:p w14:paraId="4AD6F906" w14:textId="77777777" w:rsidR="00864018" w:rsidRPr="00864018" w:rsidRDefault="00864018" w:rsidP="00864018">
      <w:pPr>
        <w:jc w:val="both"/>
        <w:rPr>
          <w:rFonts w:cs="Arial"/>
          <w:b/>
          <w:bCs/>
        </w:rPr>
      </w:pPr>
      <w:r w:rsidRPr="00864018">
        <w:rPr>
          <w:rFonts w:cs="Arial"/>
          <w:b/>
          <w:bCs/>
        </w:rPr>
        <w:t>4.  ÁREA DE CONDICIONES DE ACCESO Y UTILIZACIÓN.</w:t>
      </w:r>
    </w:p>
    <w:p w14:paraId="341C48F3" w14:textId="77777777" w:rsidR="00864018" w:rsidRPr="00864018" w:rsidRDefault="00864018" w:rsidP="00864018">
      <w:pPr>
        <w:jc w:val="both"/>
        <w:rPr>
          <w:rFonts w:cs="Arial"/>
        </w:rPr>
      </w:pPr>
    </w:p>
    <w:p w14:paraId="3C277017" w14:textId="77777777" w:rsidR="00864018" w:rsidRPr="00864018" w:rsidRDefault="00864018" w:rsidP="00864018">
      <w:pPr>
        <w:jc w:val="both"/>
        <w:rPr>
          <w:rFonts w:cs="Arial"/>
          <w:lang w:val="es-ES_tradnl"/>
        </w:rPr>
      </w:pPr>
      <w:r w:rsidRPr="00864018">
        <w:rPr>
          <w:rFonts w:cs="Arial"/>
          <w:b/>
          <w:bCs/>
        </w:rPr>
        <w:t>4.1</w:t>
      </w:r>
      <w:r w:rsidRPr="00864018">
        <w:rPr>
          <w:rFonts w:cs="Arial"/>
        </w:rPr>
        <w:t xml:space="preserve"> </w:t>
      </w:r>
      <w:r w:rsidRPr="00864018">
        <w:rPr>
          <w:rFonts w:cs="Arial"/>
          <w:b/>
          <w:bCs/>
        </w:rPr>
        <w:t>CONDICIONES DE ACCESO:</w:t>
      </w:r>
      <w:r w:rsidRPr="00864018">
        <w:rPr>
          <w:rFonts w:cs="Arial"/>
          <w:lang w:val="es-ES_tradnl"/>
        </w:rPr>
        <w:t xml:space="preserve"> Libre. </w:t>
      </w:r>
    </w:p>
    <w:p w14:paraId="5003E5B7" w14:textId="77777777" w:rsidR="00864018" w:rsidRPr="00864018" w:rsidRDefault="00864018" w:rsidP="00864018">
      <w:pPr>
        <w:jc w:val="both"/>
        <w:rPr>
          <w:rFonts w:cs="Arial"/>
        </w:rPr>
      </w:pPr>
    </w:p>
    <w:p w14:paraId="409082A2" w14:textId="77777777" w:rsidR="00864018" w:rsidRPr="00864018" w:rsidRDefault="00864018" w:rsidP="00864018">
      <w:pPr>
        <w:jc w:val="both"/>
        <w:rPr>
          <w:rFonts w:cs="Arial"/>
        </w:rPr>
      </w:pPr>
      <w:r w:rsidRPr="00864018">
        <w:rPr>
          <w:rFonts w:cs="Arial"/>
          <w:b/>
          <w:bCs/>
        </w:rPr>
        <w:t>4.2</w:t>
      </w:r>
      <w:r w:rsidRPr="00864018">
        <w:rPr>
          <w:rFonts w:cs="Arial"/>
        </w:rPr>
        <w:t xml:space="preserve"> </w:t>
      </w:r>
      <w:r w:rsidRPr="00864018">
        <w:rPr>
          <w:rFonts w:cs="Arial"/>
          <w:b/>
          <w:bCs/>
        </w:rPr>
        <w:t xml:space="preserve">CONDICIONES DE REPRODUCCIÓN: </w:t>
      </w:r>
      <w:r w:rsidRPr="00864018">
        <w:rPr>
          <w:rFonts w:cs="Arial"/>
        </w:rPr>
        <w:t>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02F062F0" w14:textId="77777777" w:rsidR="00864018" w:rsidRPr="00864018" w:rsidRDefault="00864018" w:rsidP="00864018">
      <w:pPr>
        <w:jc w:val="both"/>
        <w:rPr>
          <w:rFonts w:cs="Arial"/>
        </w:rPr>
      </w:pPr>
    </w:p>
    <w:p w14:paraId="5B103BBF" w14:textId="77777777" w:rsidR="00864018" w:rsidRPr="00864018" w:rsidRDefault="00864018" w:rsidP="00864018">
      <w:pPr>
        <w:jc w:val="both"/>
        <w:rPr>
          <w:rFonts w:cs="Arial"/>
          <w:b/>
          <w:bCs/>
          <w:highlight w:val="yellow"/>
        </w:rPr>
      </w:pPr>
      <w:r w:rsidRPr="00864018">
        <w:rPr>
          <w:rFonts w:cs="Arial"/>
          <w:b/>
          <w:bCs/>
        </w:rPr>
        <w:t xml:space="preserve">3.3. LENGUA / ESCRITURA (S) DE LOS DOCUMENTOS: </w:t>
      </w:r>
      <w:proofErr w:type="gramStart"/>
      <w:r w:rsidRPr="00864018">
        <w:rPr>
          <w:rFonts w:cs="Arial"/>
          <w:bCs/>
        </w:rPr>
        <w:t>Español</w:t>
      </w:r>
      <w:proofErr w:type="gramEnd"/>
      <w:r w:rsidRPr="00864018">
        <w:rPr>
          <w:rFonts w:cs="Arial"/>
          <w:bCs/>
        </w:rPr>
        <w:t>.</w:t>
      </w:r>
    </w:p>
    <w:p w14:paraId="18D0EED3" w14:textId="77777777" w:rsidR="00864018" w:rsidRPr="00864018" w:rsidRDefault="00864018" w:rsidP="00864018">
      <w:pPr>
        <w:jc w:val="both"/>
        <w:rPr>
          <w:rFonts w:cs="Arial"/>
        </w:rPr>
      </w:pPr>
    </w:p>
    <w:p w14:paraId="2266D65E" w14:textId="77777777" w:rsidR="00864018" w:rsidRPr="00864018" w:rsidRDefault="00864018" w:rsidP="00864018">
      <w:pPr>
        <w:jc w:val="both"/>
        <w:rPr>
          <w:rFonts w:cs="Arial"/>
          <w:color w:val="FF6600"/>
          <w:lang w:val="es-ES_tradnl"/>
        </w:rPr>
      </w:pPr>
      <w:r w:rsidRPr="00864018">
        <w:rPr>
          <w:rFonts w:cs="Arial"/>
          <w:b/>
          <w:bCs/>
        </w:rPr>
        <w:t xml:space="preserve">CARACTERÍSTICAS FÍSICAS Y REQUISITOS TÉCNICOS: </w:t>
      </w:r>
      <w:r w:rsidRPr="00864018">
        <w:rPr>
          <w:rFonts w:cs="Arial"/>
          <w:lang w:val="es-ES_tradnl"/>
        </w:rPr>
        <w:t>Buen estado de conservación.</w:t>
      </w:r>
    </w:p>
    <w:p w14:paraId="5E3A9316" w14:textId="77777777" w:rsidR="00864018" w:rsidRPr="00864018" w:rsidRDefault="00864018" w:rsidP="00864018">
      <w:pPr>
        <w:jc w:val="both"/>
        <w:rPr>
          <w:rFonts w:cs="Arial"/>
        </w:rPr>
      </w:pPr>
    </w:p>
    <w:p w14:paraId="0829A304" w14:textId="77777777" w:rsidR="00864018" w:rsidRPr="00864018" w:rsidRDefault="00864018" w:rsidP="00864018">
      <w:pPr>
        <w:numPr>
          <w:ilvl w:val="1"/>
          <w:numId w:val="26"/>
        </w:numPr>
        <w:ind w:left="0" w:firstLine="0"/>
        <w:jc w:val="both"/>
        <w:rPr>
          <w:rFonts w:cs="Arial"/>
          <w:b/>
          <w:bCs/>
        </w:rPr>
      </w:pPr>
      <w:r w:rsidRPr="00864018">
        <w:rPr>
          <w:rFonts w:cs="Arial"/>
          <w:b/>
          <w:bCs/>
        </w:rPr>
        <w:t>INSTRUMENTOS DE DESCRIPCIÓN:</w:t>
      </w:r>
      <w:r w:rsidRPr="00864018">
        <w:rPr>
          <w:rFonts w:cs="Arial"/>
          <w:bCs/>
        </w:rPr>
        <w:t xml:space="preserve"> Base de datos, inventarios impresos y ficheros: cronológicos, temáticos, alfabéticos por nombre de soldados; por asuntos, datos salariales y comandancia de plaza.</w:t>
      </w:r>
    </w:p>
    <w:p w14:paraId="405F72C5" w14:textId="77777777" w:rsidR="00864018" w:rsidRPr="00864018" w:rsidRDefault="00864018" w:rsidP="00864018">
      <w:pPr>
        <w:ind w:left="360"/>
        <w:jc w:val="both"/>
        <w:rPr>
          <w:rFonts w:cs="Arial"/>
        </w:rPr>
      </w:pPr>
    </w:p>
    <w:p w14:paraId="28C2D0C0" w14:textId="77777777" w:rsidR="00864018" w:rsidRPr="00864018" w:rsidRDefault="00864018" w:rsidP="00864018">
      <w:pPr>
        <w:ind w:left="360"/>
        <w:jc w:val="both"/>
        <w:rPr>
          <w:rFonts w:cs="Arial"/>
        </w:rPr>
      </w:pPr>
    </w:p>
    <w:p w14:paraId="54CF1FC7" w14:textId="77777777" w:rsidR="00864018" w:rsidRPr="00864018" w:rsidRDefault="00864018" w:rsidP="00864018">
      <w:pPr>
        <w:numPr>
          <w:ilvl w:val="0"/>
          <w:numId w:val="26"/>
        </w:numPr>
        <w:jc w:val="both"/>
        <w:rPr>
          <w:rFonts w:cs="Arial"/>
          <w:b/>
          <w:bCs/>
        </w:rPr>
      </w:pPr>
      <w:r w:rsidRPr="00864018">
        <w:rPr>
          <w:rFonts w:cs="Arial"/>
          <w:b/>
          <w:bCs/>
        </w:rPr>
        <w:lastRenderedPageBreak/>
        <w:t>ÁREA DE DOCUMENTACIÓN ASOCIADA.</w:t>
      </w:r>
    </w:p>
    <w:p w14:paraId="290300D1" w14:textId="77777777" w:rsidR="00864018" w:rsidRPr="00864018" w:rsidRDefault="00864018" w:rsidP="00864018">
      <w:pPr>
        <w:jc w:val="both"/>
        <w:rPr>
          <w:rFonts w:cs="Arial"/>
          <w:b/>
          <w:bCs/>
        </w:rPr>
      </w:pPr>
    </w:p>
    <w:p w14:paraId="73431E80" w14:textId="77777777" w:rsidR="00864018" w:rsidRPr="00864018" w:rsidRDefault="00864018" w:rsidP="00864018">
      <w:pPr>
        <w:jc w:val="both"/>
        <w:rPr>
          <w:rFonts w:cs="Arial"/>
          <w:b/>
          <w:bCs/>
        </w:rPr>
      </w:pPr>
      <w:r w:rsidRPr="00864018">
        <w:rPr>
          <w:rFonts w:cs="Arial"/>
          <w:b/>
          <w:bCs/>
        </w:rPr>
        <w:t xml:space="preserve">5.3. UNIDADES DE DESCRIPCIÓN RELACIONADAS: </w:t>
      </w:r>
      <w:r w:rsidRPr="00864018">
        <w:rPr>
          <w:rFonts w:cs="Arial"/>
          <w:bCs/>
        </w:rPr>
        <w:t>Gobernación, Hacienda, Judicial (Juzgados y Alcaldías), Congreso, Presidencia, Secretaría de Fomento, Policía, Seguridad Pública, Ministerio de Relaciones Exteriores, Protocolos notariales, Protocolos Lara y Chamorro, Presidencia, Municipal, Northern Railway Company, Ministerio de Justicia y Gracia, Consejo Representativo, Provincial Independiente, Municipal, Archivo Nacional,  Federico Tinoco Granados.</w:t>
      </w:r>
    </w:p>
    <w:p w14:paraId="70F606C3" w14:textId="77777777" w:rsidR="00864018" w:rsidRPr="00864018" w:rsidRDefault="00864018" w:rsidP="00864018">
      <w:pPr>
        <w:jc w:val="both"/>
        <w:rPr>
          <w:rFonts w:cs="Arial"/>
          <w:bCs/>
        </w:rPr>
      </w:pPr>
    </w:p>
    <w:p w14:paraId="296E6732" w14:textId="77777777" w:rsidR="00864018" w:rsidRPr="00864018" w:rsidRDefault="00864018" w:rsidP="00864018">
      <w:pPr>
        <w:jc w:val="both"/>
        <w:rPr>
          <w:rFonts w:cs="Arial"/>
          <w:bCs/>
        </w:rPr>
      </w:pPr>
      <w:r w:rsidRPr="00864018">
        <w:rPr>
          <w:rFonts w:cs="Arial"/>
          <w:bCs/>
        </w:rPr>
        <w:t>Colecciones: Fotografías, Afiches, Artículos de Prensa y Periódicos, Memorias, Mapas y Planos, Audiovisuales. Federal, Cartago, Complementario Colonial.</w:t>
      </w:r>
    </w:p>
    <w:p w14:paraId="0B79A27D" w14:textId="77777777" w:rsidR="00864018" w:rsidRPr="00864018" w:rsidRDefault="00864018" w:rsidP="00864018">
      <w:pPr>
        <w:jc w:val="both"/>
        <w:rPr>
          <w:rFonts w:cs="Arial"/>
          <w:bCs/>
        </w:rPr>
      </w:pPr>
    </w:p>
    <w:p w14:paraId="545B4729" w14:textId="77777777" w:rsidR="00864018" w:rsidRPr="00864018" w:rsidRDefault="00864018" w:rsidP="00864018">
      <w:pPr>
        <w:jc w:val="both"/>
        <w:rPr>
          <w:rFonts w:cs="Arial"/>
          <w:bCs/>
        </w:rPr>
      </w:pPr>
      <w:r w:rsidRPr="00864018">
        <w:rPr>
          <w:rFonts w:cs="Arial"/>
          <w:b/>
          <w:bCs/>
        </w:rPr>
        <w:t>5.4. NOTA DE PUBLICACIONES:</w:t>
      </w:r>
    </w:p>
    <w:p w14:paraId="4CC5E11C" w14:textId="77777777" w:rsidR="00864018" w:rsidRPr="00864018" w:rsidRDefault="00864018" w:rsidP="00864018">
      <w:pPr>
        <w:jc w:val="both"/>
        <w:rPr>
          <w:rFonts w:cs="Arial"/>
          <w:b/>
          <w:bCs/>
        </w:rPr>
      </w:pPr>
    </w:p>
    <w:p w14:paraId="5E59DA9E" w14:textId="77777777" w:rsidR="00864018" w:rsidRPr="00864018" w:rsidRDefault="00864018" w:rsidP="00864018">
      <w:pPr>
        <w:jc w:val="both"/>
        <w:rPr>
          <w:rFonts w:cs="Arial"/>
          <w:b/>
          <w:bCs/>
        </w:rPr>
      </w:pPr>
      <w:r w:rsidRPr="00864018">
        <w:rPr>
          <w:rFonts w:cs="Arial"/>
          <w:b/>
          <w:bCs/>
        </w:rPr>
        <w:t>Catálogos de exposiciones:</w:t>
      </w:r>
    </w:p>
    <w:p w14:paraId="3824CB5F" w14:textId="77777777" w:rsidR="00864018" w:rsidRPr="00864018" w:rsidRDefault="00864018" w:rsidP="00864018">
      <w:pPr>
        <w:pStyle w:val="Prrafodelista"/>
        <w:numPr>
          <w:ilvl w:val="0"/>
          <w:numId w:val="27"/>
        </w:numPr>
        <w:contextualSpacing/>
        <w:jc w:val="both"/>
        <w:rPr>
          <w:rFonts w:ascii="Arial" w:hAnsi="Arial" w:cs="Arial"/>
          <w:bCs/>
          <w:sz w:val="22"/>
          <w:szCs w:val="22"/>
          <w:lang w:val="es-CR"/>
        </w:rPr>
      </w:pPr>
      <w:r w:rsidRPr="00864018">
        <w:rPr>
          <w:rFonts w:ascii="Arial" w:hAnsi="Arial" w:cs="Arial"/>
          <w:bCs/>
          <w:sz w:val="22"/>
          <w:szCs w:val="22"/>
          <w:lang w:val="es-CR"/>
        </w:rPr>
        <w:t xml:space="preserve">Ministerio de Cultura, Juventud y Deportes. Archivo Nacional. Departamento Documental. (1986). </w:t>
      </w:r>
      <w:r w:rsidRPr="00864018">
        <w:rPr>
          <w:rFonts w:ascii="Arial" w:hAnsi="Arial" w:cs="Arial"/>
          <w:bCs/>
          <w:i/>
          <w:sz w:val="22"/>
          <w:szCs w:val="22"/>
          <w:lang w:val="es-CR"/>
        </w:rPr>
        <w:t>La pena de muerte en Costa Rica</w:t>
      </w:r>
      <w:r w:rsidRPr="00864018">
        <w:rPr>
          <w:rFonts w:ascii="Arial" w:hAnsi="Arial" w:cs="Arial"/>
          <w:bCs/>
          <w:sz w:val="22"/>
          <w:szCs w:val="22"/>
          <w:lang w:val="es-CR"/>
        </w:rPr>
        <w:t xml:space="preserve">. Sala León Fernández Bonilla. San José, Costa Rica. </w:t>
      </w:r>
    </w:p>
    <w:p w14:paraId="769ACB88" w14:textId="77777777" w:rsidR="00864018" w:rsidRPr="00864018" w:rsidRDefault="00864018" w:rsidP="00864018">
      <w:pPr>
        <w:pStyle w:val="Prrafodelista"/>
        <w:numPr>
          <w:ilvl w:val="0"/>
          <w:numId w:val="27"/>
        </w:numPr>
        <w:contextualSpacing/>
        <w:jc w:val="both"/>
        <w:rPr>
          <w:rFonts w:ascii="Arial" w:hAnsi="Arial" w:cs="Arial"/>
          <w:bCs/>
          <w:sz w:val="22"/>
          <w:szCs w:val="22"/>
          <w:lang w:val="es-CR"/>
        </w:rPr>
      </w:pPr>
      <w:r w:rsidRPr="00864018">
        <w:rPr>
          <w:rFonts w:ascii="Arial" w:hAnsi="Arial" w:cs="Arial"/>
          <w:bCs/>
          <w:sz w:val="22"/>
          <w:szCs w:val="22"/>
          <w:lang w:val="es-CR"/>
        </w:rPr>
        <w:t xml:space="preserve">Ministerio de Cultura, Juventud y Deportes. Dirección General del Archivo Nacional. (1991). </w:t>
      </w:r>
      <w:r w:rsidRPr="00864018">
        <w:rPr>
          <w:rFonts w:ascii="Arial" w:hAnsi="Arial" w:cs="Arial"/>
          <w:bCs/>
          <w:i/>
          <w:sz w:val="22"/>
          <w:szCs w:val="22"/>
          <w:lang w:val="es-CR"/>
        </w:rPr>
        <w:t>El Erizo. Héroe del 11 de abril de 1856. Exposición documental Juan Santamaría: Símbolo de la soberanía Nacional.</w:t>
      </w:r>
      <w:r w:rsidRPr="00864018">
        <w:rPr>
          <w:rFonts w:ascii="Arial" w:hAnsi="Arial" w:cs="Arial"/>
          <w:bCs/>
          <w:sz w:val="22"/>
          <w:szCs w:val="22"/>
          <w:lang w:val="es-CR"/>
        </w:rPr>
        <w:t xml:space="preserve"> Sala de Exposiciones León Fernández Bonilla.</w:t>
      </w:r>
    </w:p>
    <w:p w14:paraId="2B7F204F" w14:textId="77777777" w:rsidR="00864018" w:rsidRPr="00864018" w:rsidRDefault="00864018" w:rsidP="00864018">
      <w:pPr>
        <w:pStyle w:val="Prrafodelista"/>
        <w:numPr>
          <w:ilvl w:val="0"/>
          <w:numId w:val="27"/>
        </w:numPr>
        <w:contextualSpacing/>
        <w:jc w:val="both"/>
        <w:rPr>
          <w:rFonts w:ascii="Arial" w:hAnsi="Arial" w:cs="Arial"/>
          <w:bCs/>
          <w:sz w:val="22"/>
          <w:szCs w:val="22"/>
          <w:lang w:val="es-CR"/>
        </w:rPr>
      </w:pPr>
      <w:r w:rsidRPr="00864018">
        <w:rPr>
          <w:rFonts w:ascii="Arial" w:hAnsi="Arial" w:cs="Arial"/>
          <w:bCs/>
          <w:sz w:val="22"/>
          <w:szCs w:val="22"/>
          <w:lang w:val="es-CR"/>
        </w:rPr>
        <w:t xml:space="preserve">Ministerio de Cultura, Juventud y Deportes. Dirección General del Archivo Nacional. (2000). </w:t>
      </w:r>
      <w:r w:rsidRPr="00864018">
        <w:rPr>
          <w:rFonts w:ascii="Arial" w:hAnsi="Arial" w:cs="Arial"/>
          <w:bCs/>
          <w:i/>
          <w:sz w:val="22"/>
          <w:szCs w:val="22"/>
          <w:lang w:val="es-CR"/>
        </w:rPr>
        <w:t>Paz en Costa Rica: entre la realidad y el mito.</w:t>
      </w:r>
    </w:p>
    <w:p w14:paraId="470752F0" w14:textId="77777777" w:rsidR="00864018" w:rsidRPr="00864018" w:rsidRDefault="00864018" w:rsidP="00864018">
      <w:pPr>
        <w:pStyle w:val="Prrafodelista"/>
        <w:numPr>
          <w:ilvl w:val="0"/>
          <w:numId w:val="27"/>
        </w:numPr>
        <w:contextualSpacing/>
        <w:jc w:val="both"/>
        <w:rPr>
          <w:rFonts w:ascii="Arial" w:hAnsi="Arial" w:cs="Arial"/>
          <w:bCs/>
          <w:sz w:val="22"/>
          <w:szCs w:val="22"/>
          <w:lang w:val="es-CR"/>
        </w:rPr>
      </w:pPr>
      <w:r w:rsidRPr="00864018">
        <w:rPr>
          <w:rFonts w:ascii="Arial" w:hAnsi="Arial" w:cs="Arial"/>
          <w:bCs/>
          <w:sz w:val="22"/>
          <w:szCs w:val="22"/>
          <w:lang w:val="es-CR"/>
        </w:rPr>
        <w:t xml:space="preserve">Ministerio de Cultura, Juventud y Deportes. Dirección General del Archivo Nacional (2006). Exposición documental. </w:t>
      </w:r>
      <w:r w:rsidRPr="00864018">
        <w:rPr>
          <w:rFonts w:ascii="Arial" w:hAnsi="Arial" w:cs="Arial"/>
          <w:bCs/>
          <w:i/>
          <w:sz w:val="22"/>
          <w:szCs w:val="22"/>
          <w:lang w:val="es-CR"/>
        </w:rPr>
        <w:t>Hoy como ayer, defensores de la Patria.</w:t>
      </w:r>
      <w:r w:rsidRPr="00864018">
        <w:rPr>
          <w:rFonts w:ascii="Arial" w:hAnsi="Arial" w:cs="Arial"/>
          <w:bCs/>
          <w:sz w:val="22"/>
          <w:szCs w:val="22"/>
          <w:lang w:val="es-CR"/>
        </w:rPr>
        <w:t xml:space="preserve"> San José, Costa Rica, abril 2006.</w:t>
      </w:r>
    </w:p>
    <w:p w14:paraId="7F058BAA" w14:textId="77777777" w:rsidR="00864018" w:rsidRPr="00864018" w:rsidRDefault="00864018" w:rsidP="00864018">
      <w:pPr>
        <w:pStyle w:val="Prrafodelista"/>
        <w:jc w:val="both"/>
        <w:rPr>
          <w:rFonts w:ascii="Arial" w:hAnsi="Arial" w:cs="Arial"/>
          <w:bCs/>
          <w:sz w:val="22"/>
          <w:szCs w:val="22"/>
          <w:lang w:val="es-CR"/>
        </w:rPr>
      </w:pPr>
    </w:p>
    <w:p w14:paraId="12CBE7BB" w14:textId="77777777" w:rsidR="00864018" w:rsidRPr="00864018" w:rsidRDefault="00864018" w:rsidP="00864018">
      <w:pPr>
        <w:pStyle w:val="Prrafodelista"/>
        <w:numPr>
          <w:ilvl w:val="0"/>
          <w:numId w:val="27"/>
        </w:numPr>
        <w:contextualSpacing/>
        <w:jc w:val="both"/>
        <w:rPr>
          <w:rFonts w:ascii="Arial" w:hAnsi="Arial" w:cs="Arial"/>
          <w:bCs/>
          <w:sz w:val="22"/>
          <w:szCs w:val="22"/>
          <w:lang w:val="es-CR"/>
        </w:rPr>
      </w:pPr>
      <w:r w:rsidRPr="00864018">
        <w:rPr>
          <w:rFonts w:ascii="Arial" w:hAnsi="Arial" w:cs="Arial"/>
          <w:bCs/>
          <w:sz w:val="22"/>
          <w:szCs w:val="22"/>
          <w:lang w:val="es-CR"/>
        </w:rPr>
        <w:t xml:space="preserve">Ministerio de Cultura y Juventud. Academias de Ciencias Genealógicas. Dirección General del Archivo Nacional. (2007). </w:t>
      </w:r>
      <w:r w:rsidRPr="00864018">
        <w:rPr>
          <w:rFonts w:ascii="Arial" w:hAnsi="Arial" w:cs="Arial"/>
          <w:bCs/>
          <w:i/>
          <w:sz w:val="22"/>
          <w:szCs w:val="22"/>
          <w:lang w:val="es-CR"/>
        </w:rPr>
        <w:t>Exposición documental. Genealogía: a la búsqueda  de una identidad.</w:t>
      </w:r>
      <w:r w:rsidRPr="00864018">
        <w:rPr>
          <w:rFonts w:ascii="Arial" w:hAnsi="Arial" w:cs="Arial"/>
          <w:bCs/>
          <w:sz w:val="22"/>
          <w:szCs w:val="22"/>
          <w:lang w:val="es-CR"/>
        </w:rPr>
        <w:t xml:space="preserve"> San José, Costa Rica, noviembre 2007.</w:t>
      </w:r>
    </w:p>
    <w:p w14:paraId="3385A4DC" w14:textId="77777777" w:rsidR="00864018" w:rsidRPr="00864018" w:rsidRDefault="00864018" w:rsidP="00864018">
      <w:pPr>
        <w:pStyle w:val="Prrafodelista"/>
        <w:jc w:val="both"/>
        <w:rPr>
          <w:rFonts w:ascii="Arial" w:hAnsi="Arial" w:cs="Arial"/>
          <w:bCs/>
          <w:sz w:val="22"/>
          <w:szCs w:val="22"/>
          <w:lang w:val="es-CR"/>
        </w:rPr>
      </w:pPr>
    </w:p>
    <w:p w14:paraId="2912610B" w14:textId="77777777" w:rsidR="00864018" w:rsidRPr="00864018" w:rsidRDefault="00864018" w:rsidP="00864018">
      <w:pPr>
        <w:pStyle w:val="Prrafodelista"/>
        <w:jc w:val="both"/>
        <w:rPr>
          <w:rFonts w:ascii="Arial" w:hAnsi="Arial" w:cs="Arial"/>
          <w:bCs/>
          <w:sz w:val="22"/>
          <w:szCs w:val="22"/>
          <w:highlight w:val="lightGray"/>
          <w:lang w:val="es-CR"/>
        </w:rPr>
      </w:pPr>
    </w:p>
    <w:p w14:paraId="4121A3A9" w14:textId="77777777" w:rsidR="00864018" w:rsidRPr="00864018" w:rsidRDefault="00864018" w:rsidP="00864018">
      <w:pPr>
        <w:jc w:val="both"/>
        <w:rPr>
          <w:rFonts w:cs="Arial"/>
          <w:b/>
          <w:bCs/>
        </w:rPr>
      </w:pPr>
      <w:r w:rsidRPr="00864018">
        <w:rPr>
          <w:rFonts w:cs="Arial"/>
          <w:b/>
          <w:bCs/>
        </w:rPr>
        <w:t>Libros:</w:t>
      </w:r>
    </w:p>
    <w:p w14:paraId="42905ADE" w14:textId="77777777" w:rsidR="00864018" w:rsidRPr="00864018" w:rsidRDefault="00864018" w:rsidP="00864018">
      <w:pPr>
        <w:pStyle w:val="Prrafodelista"/>
        <w:numPr>
          <w:ilvl w:val="0"/>
          <w:numId w:val="27"/>
        </w:numPr>
        <w:tabs>
          <w:tab w:val="left" w:pos="480"/>
        </w:tabs>
        <w:suppressAutoHyphens/>
        <w:contextualSpacing/>
        <w:jc w:val="both"/>
        <w:rPr>
          <w:rFonts w:ascii="Arial" w:hAnsi="Arial" w:cs="Arial"/>
          <w:sz w:val="22"/>
          <w:szCs w:val="22"/>
          <w:lang w:val="es-ES_tradnl"/>
        </w:rPr>
      </w:pPr>
      <w:r w:rsidRPr="00864018">
        <w:rPr>
          <w:rFonts w:ascii="Arial" w:hAnsi="Arial" w:cs="Arial"/>
          <w:sz w:val="22"/>
          <w:szCs w:val="22"/>
          <w:lang w:val="es-ES_tradnl"/>
        </w:rPr>
        <w:t xml:space="preserve"> Aguilar, R. y Vargas A. - editores (2014). </w:t>
      </w:r>
      <w:r w:rsidRPr="00864018">
        <w:rPr>
          <w:rFonts w:ascii="Arial" w:hAnsi="Arial" w:cs="Arial"/>
          <w:i/>
          <w:sz w:val="22"/>
          <w:szCs w:val="22"/>
          <w:lang w:val="es-ES_tradnl"/>
        </w:rPr>
        <w:t>Palabra viva del libertador</w:t>
      </w:r>
      <w:r w:rsidRPr="00864018">
        <w:rPr>
          <w:rFonts w:ascii="Arial" w:hAnsi="Arial" w:cs="Arial"/>
          <w:sz w:val="22"/>
          <w:szCs w:val="22"/>
          <w:lang w:val="es-ES_tradnl"/>
        </w:rPr>
        <w:t>. San José, Costa Rica. 462 p.</w:t>
      </w:r>
    </w:p>
    <w:p w14:paraId="36FAD3A3" w14:textId="77777777" w:rsidR="00864018" w:rsidRPr="00864018" w:rsidRDefault="00864018" w:rsidP="00864018">
      <w:pPr>
        <w:pStyle w:val="Prrafodelista"/>
        <w:numPr>
          <w:ilvl w:val="0"/>
          <w:numId w:val="27"/>
        </w:numPr>
        <w:tabs>
          <w:tab w:val="left" w:pos="480"/>
        </w:tabs>
        <w:suppressAutoHyphens/>
        <w:contextualSpacing/>
        <w:jc w:val="both"/>
        <w:rPr>
          <w:rFonts w:ascii="Arial" w:hAnsi="Arial" w:cs="Arial"/>
          <w:sz w:val="22"/>
          <w:szCs w:val="22"/>
          <w:lang w:val="es-ES_tradnl"/>
        </w:rPr>
      </w:pPr>
      <w:r w:rsidRPr="00864018">
        <w:rPr>
          <w:rFonts w:ascii="Arial" w:hAnsi="Arial" w:cs="Arial"/>
          <w:sz w:val="22"/>
          <w:szCs w:val="22"/>
          <w:lang w:val="es-ES_tradnl"/>
        </w:rPr>
        <w:t xml:space="preserve"> Meléndez, C. (1982). </w:t>
      </w:r>
      <w:r w:rsidRPr="00864018">
        <w:rPr>
          <w:rFonts w:ascii="Arial" w:hAnsi="Arial" w:cs="Arial"/>
          <w:i/>
          <w:sz w:val="22"/>
          <w:szCs w:val="22"/>
          <w:lang w:val="es-ES_tradnl"/>
        </w:rPr>
        <w:t>Juan Santamaría. Una aproximación crítica y documental</w:t>
      </w:r>
      <w:r w:rsidRPr="00864018">
        <w:rPr>
          <w:rFonts w:ascii="Arial" w:hAnsi="Arial" w:cs="Arial"/>
          <w:sz w:val="22"/>
          <w:szCs w:val="22"/>
          <w:lang w:val="es-ES_tradnl"/>
        </w:rPr>
        <w:t>. Alajuela. Museo Histórico Cultural Juan Santamaría, 150 p.</w:t>
      </w:r>
    </w:p>
    <w:p w14:paraId="4F95D7A6" w14:textId="77777777" w:rsidR="00864018" w:rsidRPr="00864018" w:rsidRDefault="00864018" w:rsidP="00864018">
      <w:pPr>
        <w:pStyle w:val="Prrafodelista"/>
        <w:numPr>
          <w:ilvl w:val="0"/>
          <w:numId w:val="27"/>
        </w:numPr>
        <w:tabs>
          <w:tab w:val="left" w:pos="480"/>
        </w:tabs>
        <w:suppressAutoHyphens/>
        <w:contextualSpacing/>
        <w:jc w:val="both"/>
        <w:rPr>
          <w:rFonts w:ascii="Arial" w:hAnsi="Arial" w:cs="Arial"/>
          <w:sz w:val="22"/>
          <w:szCs w:val="22"/>
          <w:lang w:val="es-ES_tradnl"/>
        </w:rPr>
      </w:pPr>
      <w:r w:rsidRPr="00864018">
        <w:rPr>
          <w:rFonts w:ascii="Arial" w:hAnsi="Arial" w:cs="Arial"/>
          <w:sz w:val="22"/>
          <w:szCs w:val="22"/>
          <w:lang w:val="es-ES_tradnl"/>
        </w:rPr>
        <w:t xml:space="preserve"> Obregón C. (1989). </w:t>
      </w:r>
      <w:r w:rsidRPr="00864018">
        <w:rPr>
          <w:rFonts w:ascii="Arial" w:hAnsi="Arial" w:cs="Arial"/>
          <w:i/>
          <w:sz w:val="22"/>
          <w:szCs w:val="22"/>
          <w:lang w:val="es-ES_tradnl"/>
        </w:rPr>
        <w:t xml:space="preserve">Carrillo: una época y un hombre 1835-1842. </w:t>
      </w:r>
      <w:r w:rsidRPr="00864018">
        <w:rPr>
          <w:rFonts w:ascii="Arial" w:hAnsi="Arial" w:cs="Arial"/>
          <w:sz w:val="22"/>
          <w:szCs w:val="22"/>
          <w:lang w:val="es-ES_tradnl"/>
        </w:rPr>
        <w:t>San José, Costa Rica Editorial Costa Rica. 244 p.</w:t>
      </w:r>
    </w:p>
    <w:p w14:paraId="427EE76D" w14:textId="77777777" w:rsidR="00864018" w:rsidRPr="00864018" w:rsidRDefault="00864018" w:rsidP="00864018">
      <w:pPr>
        <w:pStyle w:val="Prrafodelista"/>
        <w:numPr>
          <w:ilvl w:val="0"/>
          <w:numId w:val="27"/>
        </w:numPr>
        <w:tabs>
          <w:tab w:val="left" w:pos="480"/>
        </w:tabs>
        <w:suppressAutoHyphens/>
        <w:contextualSpacing/>
        <w:jc w:val="both"/>
        <w:rPr>
          <w:rFonts w:ascii="Arial" w:hAnsi="Arial" w:cs="Arial"/>
          <w:sz w:val="22"/>
          <w:szCs w:val="22"/>
          <w:lang w:val="es-ES_tradnl"/>
        </w:rPr>
      </w:pPr>
      <w:r w:rsidRPr="00864018">
        <w:rPr>
          <w:rFonts w:ascii="Arial" w:hAnsi="Arial" w:cs="Arial"/>
          <w:sz w:val="22"/>
          <w:szCs w:val="22"/>
          <w:lang w:val="es-ES_tradnl"/>
        </w:rPr>
        <w:t xml:space="preserve"> Obregón, C (2000). </w:t>
      </w:r>
      <w:r w:rsidRPr="00864018">
        <w:rPr>
          <w:rFonts w:ascii="Arial" w:hAnsi="Arial" w:cs="Arial"/>
          <w:i/>
          <w:sz w:val="22"/>
          <w:szCs w:val="22"/>
          <w:lang w:val="es-ES_tradnl"/>
        </w:rPr>
        <w:t>El proceso electoral y el Poder Ejecutivo en Costa Rica: 1808-1998.</w:t>
      </w:r>
      <w:r w:rsidRPr="00864018">
        <w:rPr>
          <w:rFonts w:ascii="Arial" w:hAnsi="Arial" w:cs="Arial"/>
          <w:sz w:val="22"/>
          <w:szCs w:val="22"/>
          <w:lang w:val="es-ES_tradnl"/>
        </w:rPr>
        <w:t xml:space="preserve"> San José, Costa Rica. Editorial de la Universidad de Costa Rica. 444 p.</w:t>
      </w:r>
    </w:p>
    <w:p w14:paraId="19811E8F" w14:textId="77777777" w:rsidR="00864018" w:rsidRPr="00864018" w:rsidRDefault="00864018" w:rsidP="00864018">
      <w:pPr>
        <w:pStyle w:val="Prrafodelista"/>
        <w:tabs>
          <w:tab w:val="left" w:pos="480"/>
        </w:tabs>
        <w:suppressAutoHyphens/>
        <w:ind w:left="360"/>
        <w:jc w:val="both"/>
        <w:rPr>
          <w:rFonts w:ascii="Arial" w:hAnsi="Arial" w:cs="Arial"/>
          <w:sz w:val="22"/>
          <w:szCs w:val="22"/>
          <w:lang w:val="es-ES_tradnl"/>
        </w:rPr>
      </w:pPr>
      <w:r w:rsidRPr="00864018">
        <w:rPr>
          <w:rFonts w:ascii="Arial" w:hAnsi="Arial" w:cs="Arial"/>
          <w:sz w:val="22"/>
          <w:szCs w:val="22"/>
          <w:lang w:val="es-ES_tradnl"/>
        </w:rPr>
        <w:t xml:space="preserve">- Obregón, C. (2007-2009). </w:t>
      </w:r>
      <w:r w:rsidRPr="00864018">
        <w:rPr>
          <w:rFonts w:ascii="Arial" w:hAnsi="Arial" w:cs="Arial"/>
          <w:i/>
          <w:sz w:val="22"/>
          <w:szCs w:val="22"/>
          <w:lang w:val="es-ES_tradnl"/>
        </w:rPr>
        <w:t>Las Constituciones</w:t>
      </w:r>
      <w:r w:rsidRPr="00864018">
        <w:rPr>
          <w:rFonts w:ascii="Arial" w:hAnsi="Arial" w:cs="Arial"/>
          <w:sz w:val="22"/>
          <w:szCs w:val="22"/>
          <w:lang w:val="es-ES_tradnl"/>
        </w:rPr>
        <w:t>. San José, Costa Rica. Editorial Universidad de Costa Rica, 2007-2009. Volúmenes 1 a 5.</w:t>
      </w:r>
    </w:p>
    <w:p w14:paraId="097E2540" w14:textId="77777777" w:rsidR="00864018" w:rsidRPr="00864018" w:rsidRDefault="00864018" w:rsidP="00864018">
      <w:pPr>
        <w:pStyle w:val="Prrafodelista"/>
        <w:tabs>
          <w:tab w:val="left" w:pos="480"/>
        </w:tabs>
        <w:suppressAutoHyphens/>
        <w:ind w:left="360"/>
        <w:jc w:val="both"/>
        <w:rPr>
          <w:rFonts w:ascii="Arial" w:hAnsi="Arial" w:cs="Arial"/>
          <w:sz w:val="22"/>
          <w:szCs w:val="22"/>
          <w:lang w:val="es-ES_tradnl"/>
        </w:rPr>
      </w:pPr>
      <w:r w:rsidRPr="00864018">
        <w:rPr>
          <w:rFonts w:ascii="Arial" w:hAnsi="Arial" w:cs="Arial"/>
          <w:sz w:val="22"/>
          <w:szCs w:val="22"/>
          <w:lang w:val="es-ES_tradnl"/>
        </w:rPr>
        <w:t xml:space="preserve">- Obregón, R. (1976). </w:t>
      </w:r>
      <w:r w:rsidRPr="00864018">
        <w:rPr>
          <w:rFonts w:ascii="Arial" w:hAnsi="Arial" w:cs="Arial"/>
          <w:i/>
          <w:sz w:val="22"/>
          <w:szCs w:val="22"/>
          <w:lang w:val="es-ES_tradnl"/>
        </w:rPr>
        <w:t xml:space="preserve">Costa Rica y la Guerra del 56. La campaña del tránsito 1856-1857). </w:t>
      </w:r>
      <w:r w:rsidRPr="00864018">
        <w:rPr>
          <w:rFonts w:ascii="Arial" w:hAnsi="Arial" w:cs="Arial"/>
          <w:sz w:val="22"/>
          <w:szCs w:val="22"/>
          <w:lang w:val="es-ES_tradnl"/>
        </w:rPr>
        <w:t>San José, Costa Rica. Editorial costa Rica. 250 p.</w:t>
      </w:r>
    </w:p>
    <w:p w14:paraId="4767BECC" w14:textId="77777777" w:rsidR="00864018" w:rsidRPr="00864018" w:rsidRDefault="00864018" w:rsidP="00864018">
      <w:pPr>
        <w:pStyle w:val="Prrafodelista"/>
        <w:numPr>
          <w:ilvl w:val="0"/>
          <w:numId w:val="27"/>
        </w:numPr>
        <w:tabs>
          <w:tab w:val="left" w:pos="480"/>
        </w:tabs>
        <w:suppressAutoHyphens/>
        <w:contextualSpacing/>
        <w:jc w:val="both"/>
        <w:rPr>
          <w:rFonts w:ascii="Arial" w:hAnsi="Arial" w:cs="Arial"/>
          <w:sz w:val="22"/>
          <w:szCs w:val="22"/>
          <w:lang w:val="es-ES_tradnl"/>
        </w:rPr>
      </w:pPr>
      <w:r w:rsidRPr="00864018">
        <w:rPr>
          <w:rFonts w:ascii="Arial" w:hAnsi="Arial" w:cs="Arial"/>
          <w:sz w:val="22"/>
          <w:szCs w:val="22"/>
          <w:lang w:val="es-ES_tradnl"/>
        </w:rPr>
        <w:t xml:space="preserve">Salazar, O. </w:t>
      </w:r>
      <w:r w:rsidRPr="00864018">
        <w:rPr>
          <w:rFonts w:ascii="Arial" w:hAnsi="Arial" w:cs="Arial"/>
          <w:i/>
          <w:sz w:val="22"/>
          <w:szCs w:val="22"/>
          <w:lang w:val="es-ES_tradnl"/>
        </w:rPr>
        <w:t xml:space="preserve">El apogeo de la República Liberal en Costa Rica 1870-1914. </w:t>
      </w:r>
      <w:r w:rsidRPr="00864018">
        <w:rPr>
          <w:rFonts w:ascii="Arial" w:hAnsi="Arial" w:cs="Arial"/>
          <w:sz w:val="22"/>
          <w:szCs w:val="22"/>
          <w:lang w:val="es-ES_tradnl"/>
        </w:rPr>
        <w:t>Colección Historia de Costa Rica. Editorial de la Universidad de Costa Rica. 308 p.</w:t>
      </w:r>
    </w:p>
    <w:p w14:paraId="720F7AF0" w14:textId="77777777" w:rsidR="00864018" w:rsidRPr="00864018" w:rsidRDefault="00864018" w:rsidP="00864018">
      <w:pPr>
        <w:pStyle w:val="Prrafodelista"/>
        <w:numPr>
          <w:ilvl w:val="0"/>
          <w:numId w:val="27"/>
        </w:numPr>
        <w:tabs>
          <w:tab w:val="left" w:pos="480"/>
        </w:tabs>
        <w:suppressAutoHyphens/>
        <w:contextualSpacing/>
        <w:jc w:val="both"/>
        <w:rPr>
          <w:rFonts w:ascii="Arial" w:hAnsi="Arial" w:cs="Arial"/>
          <w:sz w:val="22"/>
          <w:szCs w:val="22"/>
          <w:lang w:val="es-ES_tradnl"/>
        </w:rPr>
      </w:pPr>
      <w:r w:rsidRPr="00864018">
        <w:rPr>
          <w:rFonts w:ascii="Arial" w:hAnsi="Arial" w:cs="Arial"/>
          <w:sz w:val="22"/>
          <w:szCs w:val="22"/>
          <w:lang w:val="es-ES_tradnl"/>
        </w:rPr>
        <w:lastRenderedPageBreak/>
        <w:t xml:space="preserve">Vargas, A. (2013), </w:t>
      </w:r>
      <w:r w:rsidRPr="00864018">
        <w:rPr>
          <w:rFonts w:ascii="Arial" w:hAnsi="Arial" w:cs="Arial"/>
          <w:i/>
          <w:sz w:val="22"/>
          <w:szCs w:val="22"/>
          <w:lang w:val="es-ES_tradnl"/>
        </w:rPr>
        <w:t>El lado oculto del Presidente Mora. Costa Rica versus el expansionismo esclavista de Estados Unidos (1850-1860)</w:t>
      </w:r>
      <w:r w:rsidRPr="00864018">
        <w:rPr>
          <w:rFonts w:ascii="Arial" w:hAnsi="Arial" w:cs="Arial"/>
          <w:sz w:val="22"/>
          <w:szCs w:val="22"/>
          <w:lang w:val="es-ES_tradnl"/>
        </w:rPr>
        <w:t xml:space="preserve">. San José Costa Rica. </w:t>
      </w:r>
      <w:proofErr w:type="spellStart"/>
      <w:r w:rsidRPr="00864018">
        <w:rPr>
          <w:rFonts w:ascii="Arial" w:hAnsi="Arial" w:cs="Arial"/>
          <w:sz w:val="22"/>
          <w:szCs w:val="22"/>
          <w:lang w:val="es-ES_tradnl"/>
        </w:rPr>
        <w:t>Eduvisión</w:t>
      </w:r>
      <w:proofErr w:type="spellEnd"/>
      <w:r w:rsidRPr="00864018">
        <w:rPr>
          <w:rFonts w:ascii="Arial" w:hAnsi="Arial" w:cs="Arial"/>
          <w:sz w:val="22"/>
          <w:szCs w:val="22"/>
          <w:lang w:val="es-ES_tradnl"/>
        </w:rPr>
        <w:t>, 426 p.</w:t>
      </w:r>
    </w:p>
    <w:p w14:paraId="56EC396E" w14:textId="77777777" w:rsidR="00864018" w:rsidRPr="00864018" w:rsidRDefault="00864018" w:rsidP="00864018">
      <w:pPr>
        <w:pStyle w:val="Prrafodelista"/>
        <w:numPr>
          <w:ilvl w:val="0"/>
          <w:numId w:val="27"/>
        </w:numPr>
        <w:tabs>
          <w:tab w:val="left" w:pos="480"/>
        </w:tabs>
        <w:suppressAutoHyphens/>
        <w:contextualSpacing/>
        <w:jc w:val="both"/>
        <w:rPr>
          <w:rFonts w:ascii="Arial" w:hAnsi="Arial" w:cs="Arial"/>
          <w:sz w:val="22"/>
          <w:szCs w:val="22"/>
          <w:lang w:val="es-ES_tradnl"/>
        </w:rPr>
      </w:pPr>
      <w:r w:rsidRPr="00864018">
        <w:rPr>
          <w:rFonts w:ascii="Arial" w:hAnsi="Arial" w:cs="Arial"/>
          <w:sz w:val="22"/>
          <w:szCs w:val="22"/>
          <w:lang w:val="es-ES_tradnl"/>
        </w:rPr>
        <w:t xml:space="preserve">Vargas, A. – editor (2014). </w:t>
      </w:r>
      <w:r w:rsidRPr="00864018">
        <w:rPr>
          <w:rFonts w:ascii="Arial" w:hAnsi="Arial" w:cs="Arial"/>
          <w:i/>
          <w:sz w:val="22"/>
          <w:szCs w:val="22"/>
          <w:lang w:val="es-ES_tradnl"/>
        </w:rPr>
        <w:t>Polifonía del padre de la Patria.</w:t>
      </w:r>
      <w:r w:rsidRPr="00864018">
        <w:rPr>
          <w:rFonts w:ascii="Arial" w:hAnsi="Arial" w:cs="Arial"/>
          <w:sz w:val="22"/>
          <w:szCs w:val="22"/>
          <w:lang w:val="es-ES_tradnl"/>
        </w:rPr>
        <w:t xml:space="preserve"> San José, Costa Rica. </w:t>
      </w:r>
      <w:proofErr w:type="spellStart"/>
      <w:r w:rsidRPr="00864018">
        <w:rPr>
          <w:rFonts w:ascii="Arial" w:hAnsi="Arial" w:cs="Arial"/>
          <w:sz w:val="22"/>
          <w:szCs w:val="22"/>
          <w:lang w:val="es-ES_tradnl"/>
        </w:rPr>
        <w:t>Eduvisión</w:t>
      </w:r>
      <w:proofErr w:type="spellEnd"/>
      <w:r w:rsidRPr="00864018">
        <w:rPr>
          <w:rFonts w:ascii="Arial" w:hAnsi="Arial" w:cs="Arial"/>
          <w:sz w:val="22"/>
          <w:szCs w:val="22"/>
          <w:lang w:val="es-ES_tradnl"/>
        </w:rPr>
        <w:t>. 468 p.</w:t>
      </w:r>
    </w:p>
    <w:p w14:paraId="3F640EB2" w14:textId="77777777" w:rsidR="00864018" w:rsidRPr="00864018" w:rsidRDefault="00864018" w:rsidP="00864018">
      <w:pPr>
        <w:pStyle w:val="Prrafodelista"/>
        <w:tabs>
          <w:tab w:val="left" w:pos="480"/>
        </w:tabs>
        <w:suppressAutoHyphens/>
        <w:ind w:left="360"/>
        <w:jc w:val="both"/>
        <w:rPr>
          <w:rFonts w:ascii="Arial" w:hAnsi="Arial" w:cs="Arial"/>
          <w:sz w:val="22"/>
          <w:szCs w:val="22"/>
          <w:lang w:val="es-ES_tradnl"/>
        </w:rPr>
      </w:pPr>
    </w:p>
    <w:p w14:paraId="7C94A56B" w14:textId="77777777" w:rsidR="00864018" w:rsidRPr="00864018" w:rsidRDefault="00864018" w:rsidP="00864018">
      <w:pPr>
        <w:tabs>
          <w:tab w:val="left" w:pos="480"/>
        </w:tabs>
        <w:suppressAutoHyphens/>
        <w:jc w:val="both"/>
        <w:rPr>
          <w:rFonts w:cs="Arial"/>
          <w:b/>
          <w:lang w:val="es-ES_tradnl"/>
        </w:rPr>
      </w:pPr>
      <w:r w:rsidRPr="00864018">
        <w:rPr>
          <w:rFonts w:cs="Arial"/>
          <w:b/>
          <w:lang w:val="es-ES_tradnl"/>
        </w:rPr>
        <w:t>Revistas:</w:t>
      </w:r>
    </w:p>
    <w:p w14:paraId="6D9AE325" w14:textId="77777777" w:rsidR="00864018" w:rsidRPr="00864018" w:rsidRDefault="00864018" w:rsidP="00864018">
      <w:pPr>
        <w:jc w:val="both"/>
        <w:rPr>
          <w:rFonts w:cs="Arial"/>
          <w:bCs/>
        </w:rPr>
      </w:pPr>
      <w:r w:rsidRPr="00864018">
        <w:rPr>
          <w:rFonts w:cs="Arial"/>
          <w:bCs/>
        </w:rPr>
        <w:t xml:space="preserve">-Fernández, J. A. </w:t>
      </w:r>
      <w:r w:rsidRPr="00864018">
        <w:rPr>
          <w:rFonts w:cs="Arial"/>
          <w:bCs/>
          <w:i/>
        </w:rPr>
        <w:t>Los treinta y un meses. Contextos y procesos en la agregación del Partido de Nicoya a Costa Rica</w:t>
      </w:r>
      <w:r w:rsidRPr="00864018">
        <w:rPr>
          <w:rFonts w:cs="Arial"/>
          <w:bCs/>
        </w:rPr>
        <w:t>. En: Revista del Archivo Nacional. San José, Costa Rica, enero a diciembre 2015, año LXXIX, Número 1-12.</w:t>
      </w:r>
    </w:p>
    <w:p w14:paraId="6A08E438" w14:textId="77777777" w:rsidR="00864018" w:rsidRPr="00864018" w:rsidRDefault="00864018" w:rsidP="00864018">
      <w:pPr>
        <w:tabs>
          <w:tab w:val="left" w:pos="480"/>
        </w:tabs>
        <w:suppressAutoHyphens/>
        <w:jc w:val="both"/>
        <w:rPr>
          <w:rFonts w:cs="Arial"/>
          <w:lang w:val="es-ES_tradnl"/>
        </w:rPr>
      </w:pPr>
      <w:r w:rsidRPr="00864018">
        <w:rPr>
          <w:rFonts w:cs="Arial"/>
          <w:lang w:val="es-ES_tradnl"/>
        </w:rPr>
        <w:t xml:space="preserve">-Vargas, M. C (1996). </w:t>
      </w:r>
      <w:r w:rsidRPr="00864018">
        <w:rPr>
          <w:rFonts w:cs="Arial"/>
          <w:i/>
          <w:lang w:val="es-ES_tradnl"/>
        </w:rPr>
        <w:t>Música y Estado en Costa Rica. En Revista de Historia. Heredia Costa Rica.</w:t>
      </w:r>
      <w:r w:rsidRPr="00864018">
        <w:rPr>
          <w:rFonts w:cs="Arial"/>
          <w:lang w:val="es-ES_tradnl"/>
        </w:rPr>
        <w:t xml:space="preserve"> EUNA, Editorial de la Universidad de Costa Rica. Número 34. pp. 115-175.</w:t>
      </w:r>
    </w:p>
    <w:p w14:paraId="72283A31" w14:textId="77777777" w:rsidR="00864018" w:rsidRPr="00864018" w:rsidRDefault="00864018" w:rsidP="00864018">
      <w:pPr>
        <w:jc w:val="both"/>
        <w:rPr>
          <w:rFonts w:cs="Arial"/>
          <w:b/>
          <w:bCs/>
        </w:rPr>
      </w:pPr>
    </w:p>
    <w:p w14:paraId="0C4D61B1" w14:textId="77777777" w:rsidR="00864018" w:rsidRPr="00864018" w:rsidRDefault="00864018" w:rsidP="00864018">
      <w:pPr>
        <w:jc w:val="both"/>
        <w:rPr>
          <w:rFonts w:cs="Arial"/>
          <w:bCs/>
        </w:rPr>
      </w:pPr>
    </w:p>
    <w:p w14:paraId="0FA96865" w14:textId="77777777" w:rsidR="00864018" w:rsidRPr="00864018" w:rsidRDefault="00864018" w:rsidP="00864018">
      <w:pPr>
        <w:numPr>
          <w:ilvl w:val="0"/>
          <w:numId w:val="28"/>
        </w:numPr>
        <w:jc w:val="both"/>
        <w:rPr>
          <w:rFonts w:cs="Arial"/>
          <w:b/>
          <w:bCs/>
        </w:rPr>
      </w:pPr>
      <w:r w:rsidRPr="00864018">
        <w:rPr>
          <w:rFonts w:cs="Arial"/>
          <w:b/>
          <w:bCs/>
        </w:rPr>
        <w:t>ÁREA DE CONTROL DE LA DESCRIPCIÓN.</w:t>
      </w:r>
    </w:p>
    <w:p w14:paraId="71169ACB" w14:textId="77777777" w:rsidR="00864018" w:rsidRPr="00864018" w:rsidRDefault="00864018" w:rsidP="00864018">
      <w:pPr>
        <w:jc w:val="both"/>
        <w:rPr>
          <w:rFonts w:cs="Arial"/>
        </w:rPr>
      </w:pPr>
    </w:p>
    <w:p w14:paraId="0B3D4F1E" w14:textId="77777777" w:rsidR="00864018" w:rsidRPr="00864018" w:rsidRDefault="00864018" w:rsidP="00864018">
      <w:pPr>
        <w:numPr>
          <w:ilvl w:val="1"/>
          <w:numId w:val="9"/>
        </w:numPr>
        <w:tabs>
          <w:tab w:val="num" w:pos="0"/>
        </w:tabs>
        <w:ind w:left="0" w:firstLine="0"/>
        <w:jc w:val="both"/>
        <w:rPr>
          <w:rFonts w:cs="Arial"/>
        </w:rPr>
      </w:pPr>
      <w:r w:rsidRPr="00864018">
        <w:rPr>
          <w:rFonts w:cs="Arial"/>
          <w:b/>
          <w:bCs/>
        </w:rPr>
        <w:t>NOTA DEL ARCHIVERO:</w:t>
      </w:r>
      <w:r w:rsidRPr="00864018">
        <w:rPr>
          <w:rFonts w:cs="Arial"/>
          <w:bCs/>
        </w:rPr>
        <w:t xml:space="preserve"> </w:t>
      </w:r>
      <w:r w:rsidRPr="00864018">
        <w:rPr>
          <w:rFonts w:cs="Arial"/>
          <w:lang w:val="es-ES_tradnl"/>
        </w:rPr>
        <w:t>Entrada descriptiva e</w:t>
      </w:r>
      <w:r w:rsidRPr="00864018">
        <w:rPr>
          <w:rFonts w:cs="Arial"/>
        </w:rPr>
        <w:t>laborada por Franklin José Alvarado Quesada, profesional del Departamento de Archivo Histórico.</w:t>
      </w:r>
    </w:p>
    <w:p w14:paraId="4A10DEA1" w14:textId="77777777" w:rsidR="00864018" w:rsidRPr="00864018" w:rsidRDefault="00864018" w:rsidP="00864018">
      <w:pPr>
        <w:ind w:left="360"/>
        <w:jc w:val="both"/>
        <w:rPr>
          <w:rFonts w:cs="Arial"/>
        </w:rPr>
      </w:pPr>
    </w:p>
    <w:p w14:paraId="0439B131" w14:textId="77777777" w:rsidR="00864018" w:rsidRPr="00864018" w:rsidRDefault="00864018" w:rsidP="00864018">
      <w:pPr>
        <w:pStyle w:val="Prrafodelista"/>
        <w:ind w:left="360"/>
        <w:jc w:val="both"/>
        <w:rPr>
          <w:rFonts w:ascii="Arial" w:hAnsi="Arial" w:cs="Arial"/>
          <w:sz w:val="22"/>
          <w:szCs w:val="22"/>
          <w:lang w:val="es-CR"/>
        </w:rPr>
      </w:pPr>
      <w:r w:rsidRPr="00864018">
        <w:rPr>
          <w:rFonts w:ascii="Arial" w:hAnsi="Arial" w:cs="Arial"/>
          <w:b/>
          <w:sz w:val="22"/>
          <w:szCs w:val="22"/>
          <w:lang w:val="es-CR"/>
        </w:rPr>
        <w:t>Bibliografía</w:t>
      </w:r>
      <w:r w:rsidRPr="00864018">
        <w:rPr>
          <w:rFonts w:ascii="Arial" w:hAnsi="Arial" w:cs="Arial"/>
          <w:sz w:val="22"/>
          <w:szCs w:val="22"/>
          <w:lang w:val="es-CR"/>
        </w:rPr>
        <w:t xml:space="preserve">. </w:t>
      </w:r>
    </w:p>
    <w:p w14:paraId="344F4B17" w14:textId="77777777" w:rsidR="00864018" w:rsidRPr="00864018" w:rsidRDefault="00864018" w:rsidP="00864018">
      <w:pPr>
        <w:jc w:val="both"/>
        <w:rPr>
          <w:rFonts w:cs="Arial"/>
        </w:rPr>
      </w:pPr>
    </w:p>
    <w:p w14:paraId="61008439" w14:textId="77777777" w:rsidR="00864018" w:rsidRPr="00864018" w:rsidRDefault="00864018" w:rsidP="00864018">
      <w:pPr>
        <w:jc w:val="both"/>
        <w:rPr>
          <w:rFonts w:cs="Arial"/>
          <w:b/>
        </w:rPr>
      </w:pPr>
      <w:r w:rsidRPr="00864018">
        <w:rPr>
          <w:rFonts w:cs="Arial"/>
          <w:b/>
        </w:rPr>
        <w:t>Documentos:</w:t>
      </w:r>
    </w:p>
    <w:p w14:paraId="6BDD7ADC" w14:textId="77777777" w:rsidR="00864018" w:rsidRPr="00864018" w:rsidRDefault="00864018" w:rsidP="00864018">
      <w:pPr>
        <w:pStyle w:val="Prrafodelista"/>
        <w:ind w:left="360"/>
        <w:jc w:val="both"/>
        <w:rPr>
          <w:rFonts w:ascii="Arial" w:hAnsi="Arial" w:cs="Arial"/>
          <w:sz w:val="22"/>
          <w:szCs w:val="22"/>
          <w:lang w:val="es-CR"/>
        </w:rPr>
      </w:pPr>
      <w:r w:rsidRPr="00864018">
        <w:rPr>
          <w:rFonts w:ascii="Arial" w:hAnsi="Arial" w:cs="Arial"/>
          <w:sz w:val="22"/>
          <w:szCs w:val="22"/>
          <w:lang w:val="es-CR"/>
        </w:rPr>
        <w:t xml:space="preserve">Departamento Archivo Histórico: Archivo de Gestión. </w:t>
      </w:r>
    </w:p>
    <w:p w14:paraId="2ABF494D" w14:textId="77777777" w:rsidR="00864018" w:rsidRPr="00864018" w:rsidRDefault="00864018" w:rsidP="00864018">
      <w:pPr>
        <w:pStyle w:val="Prrafodelista"/>
        <w:ind w:left="360"/>
        <w:jc w:val="both"/>
        <w:rPr>
          <w:rFonts w:ascii="Arial" w:hAnsi="Arial" w:cs="Arial"/>
          <w:sz w:val="22"/>
          <w:szCs w:val="22"/>
          <w:lang w:val="es-CR"/>
        </w:rPr>
      </w:pPr>
      <w:r w:rsidRPr="00864018">
        <w:rPr>
          <w:rFonts w:ascii="Arial" w:hAnsi="Arial" w:cs="Arial"/>
          <w:sz w:val="22"/>
          <w:szCs w:val="22"/>
          <w:lang w:val="es-CR"/>
        </w:rPr>
        <w:t>Expediente Guerra y Marina. 2011.</w:t>
      </w:r>
    </w:p>
    <w:p w14:paraId="076BE0B9" w14:textId="77777777" w:rsidR="00864018" w:rsidRPr="00864018" w:rsidRDefault="00864018" w:rsidP="00864018">
      <w:pPr>
        <w:pStyle w:val="Prrafodelista"/>
        <w:ind w:left="360"/>
        <w:jc w:val="both"/>
        <w:rPr>
          <w:rFonts w:ascii="Arial" w:hAnsi="Arial" w:cs="Arial"/>
          <w:sz w:val="22"/>
          <w:szCs w:val="22"/>
          <w:lang w:val="es-CR"/>
        </w:rPr>
      </w:pPr>
      <w:r w:rsidRPr="00864018">
        <w:rPr>
          <w:rFonts w:ascii="Arial" w:hAnsi="Arial" w:cs="Arial"/>
          <w:sz w:val="22"/>
          <w:szCs w:val="22"/>
          <w:lang w:val="es-CR"/>
        </w:rPr>
        <w:t>Expediente de transferencias 1990 – 2003.</w:t>
      </w:r>
    </w:p>
    <w:p w14:paraId="5098D333" w14:textId="77777777" w:rsidR="00864018" w:rsidRPr="00864018" w:rsidRDefault="00864018" w:rsidP="00864018">
      <w:pPr>
        <w:pStyle w:val="Prrafodelista"/>
        <w:ind w:left="360"/>
        <w:jc w:val="both"/>
        <w:rPr>
          <w:rFonts w:ascii="Arial" w:hAnsi="Arial" w:cs="Arial"/>
          <w:sz w:val="22"/>
          <w:szCs w:val="22"/>
          <w:lang w:val="es-CR"/>
        </w:rPr>
      </w:pPr>
    </w:p>
    <w:p w14:paraId="11EB3BFF" w14:textId="77777777" w:rsidR="00864018" w:rsidRPr="00864018" w:rsidRDefault="00864018" w:rsidP="00864018">
      <w:pPr>
        <w:pStyle w:val="Prrafodelista"/>
        <w:ind w:left="360"/>
        <w:jc w:val="both"/>
        <w:rPr>
          <w:rFonts w:ascii="Arial" w:hAnsi="Arial" w:cs="Arial"/>
          <w:sz w:val="22"/>
          <w:szCs w:val="22"/>
          <w:lang w:val="es-CR"/>
        </w:rPr>
      </w:pPr>
      <w:r w:rsidRPr="00864018">
        <w:rPr>
          <w:rFonts w:ascii="Arial" w:hAnsi="Arial" w:cs="Arial"/>
          <w:sz w:val="22"/>
          <w:szCs w:val="22"/>
          <w:lang w:val="es-CR"/>
        </w:rPr>
        <w:t xml:space="preserve">Biblioteca del Archivo Nacional. </w:t>
      </w:r>
    </w:p>
    <w:p w14:paraId="086971C5" w14:textId="77777777" w:rsidR="00864018" w:rsidRPr="00864018" w:rsidRDefault="00864018" w:rsidP="00864018">
      <w:pPr>
        <w:pStyle w:val="Prrafodelista"/>
        <w:ind w:left="360"/>
        <w:jc w:val="both"/>
        <w:rPr>
          <w:rFonts w:ascii="Arial" w:hAnsi="Arial" w:cs="Arial"/>
          <w:sz w:val="22"/>
          <w:szCs w:val="22"/>
          <w:lang w:val="es-CR"/>
        </w:rPr>
      </w:pPr>
    </w:p>
    <w:p w14:paraId="503E34A8" w14:textId="77777777" w:rsidR="00864018" w:rsidRPr="00864018" w:rsidRDefault="00864018" w:rsidP="00864018">
      <w:pPr>
        <w:pStyle w:val="Prrafodelista"/>
        <w:ind w:left="360"/>
        <w:jc w:val="both"/>
        <w:rPr>
          <w:rFonts w:ascii="Arial" w:hAnsi="Arial" w:cs="Arial"/>
          <w:sz w:val="22"/>
          <w:szCs w:val="22"/>
          <w:lang w:val="es-CR"/>
        </w:rPr>
      </w:pPr>
      <w:r w:rsidRPr="00864018">
        <w:rPr>
          <w:rFonts w:ascii="Arial" w:hAnsi="Arial" w:cs="Arial"/>
          <w:sz w:val="22"/>
          <w:szCs w:val="22"/>
          <w:lang w:val="es-CR"/>
        </w:rPr>
        <w:t>Base de datos ARC del DAH  Base de datos ARC del Departamento Archivo Histórico. Archivo nacional de Costa Rica. Fondo Secretaría de Guerra y Marina.</w:t>
      </w:r>
    </w:p>
    <w:p w14:paraId="7D7703AB" w14:textId="77777777" w:rsidR="00864018" w:rsidRPr="00864018" w:rsidRDefault="00864018" w:rsidP="00864018">
      <w:pPr>
        <w:pStyle w:val="Prrafodelista"/>
        <w:ind w:left="360"/>
        <w:jc w:val="both"/>
        <w:rPr>
          <w:rFonts w:ascii="Arial" w:hAnsi="Arial" w:cs="Arial"/>
          <w:sz w:val="22"/>
          <w:szCs w:val="22"/>
          <w:lang w:val="es-CR"/>
        </w:rPr>
      </w:pPr>
    </w:p>
    <w:p w14:paraId="59D4B3E0" w14:textId="77777777" w:rsidR="00864018" w:rsidRPr="00864018" w:rsidRDefault="00864018" w:rsidP="00864018">
      <w:pPr>
        <w:pStyle w:val="Prrafodelista"/>
        <w:ind w:left="360"/>
        <w:jc w:val="both"/>
        <w:rPr>
          <w:rFonts w:ascii="Arial" w:hAnsi="Arial" w:cs="Arial"/>
          <w:sz w:val="22"/>
          <w:szCs w:val="22"/>
          <w:lang w:val="es-CR"/>
        </w:rPr>
      </w:pPr>
      <w:r w:rsidRPr="00864018">
        <w:rPr>
          <w:rFonts w:ascii="Arial" w:hAnsi="Arial" w:cs="Arial"/>
          <w:sz w:val="22"/>
          <w:szCs w:val="22"/>
          <w:lang w:val="es-CR"/>
        </w:rPr>
        <w:t>Departamento Archivo Histórico: Sala de Consulta e Investigación José Luis Coto Conde:</w:t>
      </w:r>
    </w:p>
    <w:p w14:paraId="500582D9" w14:textId="77777777" w:rsidR="00864018" w:rsidRPr="00864018" w:rsidRDefault="00864018" w:rsidP="00864018">
      <w:pPr>
        <w:pStyle w:val="Prrafodelista"/>
        <w:ind w:left="360"/>
        <w:jc w:val="both"/>
        <w:rPr>
          <w:rFonts w:ascii="Arial" w:hAnsi="Arial" w:cs="Arial"/>
          <w:sz w:val="22"/>
          <w:szCs w:val="22"/>
          <w:lang w:val="es-CR"/>
        </w:rPr>
      </w:pPr>
    </w:p>
    <w:p w14:paraId="7E799CF0" w14:textId="77777777" w:rsidR="00864018" w:rsidRPr="00864018" w:rsidRDefault="00864018" w:rsidP="00864018">
      <w:pPr>
        <w:pStyle w:val="Prrafodelista"/>
        <w:ind w:left="360"/>
        <w:jc w:val="both"/>
        <w:rPr>
          <w:rFonts w:ascii="Arial" w:hAnsi="Arial" w:cs="Arial"/>
          <w:sz w:val="22"/>
          <w:szCs w:val="22"/>
          <w:highlight w:val="lightGray"/>
          <w:lang w:val="es-CR"/>
        </w:rPr>
      </w:pPr>
      <w:r w:rsidRPr="00864018">
        <w:rPr>
          <w:rFonts w:ascii="Arial" w:hAnsi="Arial" w:cs="Arial"/>
          <w:sz w:val="22"/>
          <w:szCs w:val="22"/>
          <w:lang w:val="es-CR"/>
        </w:rPr>
        <w:t xml:space="preserve">Registro de Transferencias de 1900 a 1962. </w:t>
      </w:r>
    </w:p>
    <w:p w14:paraId="1A86A8CA" w14:textId="77777777" w:rsidR="00864018" w:rsidRPr="00864018" w:rsidRDefault="00864018" w:rsidP="00864018">
      <w:pPr>
        <w:jc w:val="both"/>
        <w:rPr>
          <w:rFonts w:cs="Arial"/>
          <w:b/>
        </w:rPr>
      </w:pPr>
    </w:p>
    <w:p w14:paraId="3B05FBC4" w14:textId="77777777" w:rsidR="00864018" w:rsidRPr="00864018" w:rsidRDefault="00864018" w:rsidP="00864018">
      <w:pPr>
        <w:pStyle w:val="Prrafodelista"/>
        <w:tabs>
          <w:tab w:val="left" w:pos="480"/>
        </w:tabs>
        <w:suppressAutoHyphens/>
        <w:ind w:left="360"/>
        <w:jc w:val="both"/>
        <w:rPr>
          <w:rFonts w:ascii="Arial" w:hAnsi="Arial" w:cs="Arial"/>
          <w:sz w:val="22"/>
          <w:szCs w:val="22"/>
          <w:lang w:val="es-ES_tradnl"/>
        </w:rPr>
      </w:pPr>
      <w:r w:rsidRPr="00864018">
        <w:rPr>
          <w:rFonts w:ascii="Arial" w:hAnsi="Arial" w:cs="Arial"/>
          <w:b/>
          <w:sz w:val="22"/>
          <w:szCs w:val="22"/>
          <w:lang w:val="es-ES_tradnl"/>
        </w:rPr>
        <w:t>Libros</w:t>
      </w:r>
      <w:r w:rsidRPr="00864018">
        <w:rPr>
          <w:rFonts w:ascii="Arial" w:hAnsi="Arial" w:cs="Arial"/>
          <w:sz w:val="22"/>
          <w:szCs w:val="22"/>
          <w:lang w:val="es-ES_tradnl"/>
        </w:rPr>
        <w:t>:</w:t>
      </w:r>
    </w:p>
    <w:p w14:paraId="6F985263" w14:textId="77777777" w:rsidR="00864018" w:rsidRPr="00864018" w:rsidRDefault="00864018" w:rsidP="00864018">
      <w:pPr>
        <w:pStyle w:val="Prrafodelista"/>
        <w:tabs>
          <w:tab w:val="left" w:pos="480"/>
        </w:tabs>
        <w:suppressAutoHyphens/>
        <w:ind w:left="360"/>
        <w:jc w:val="both"/>
        <w:rPr>
          <w:rFonts w:ascii="Arial" w:hAnsi="Arial" w:cs="Arial"/>
          <w:sz w:val="22"/>
          <w:szCs w:val="22"/>
          <w:lang w:val="es-ES_tradnl"/>
        </w:rPr>
      </w:pPr>
      <w:r w:rsidRPr="00864018">
        <w:rPr>
          <w:rFonts w:ascii="Arial" w:hAnsi="Arial" w:cs="Arial"/>
          <w:sz w:val="22"/>
          <w:szCs w:val="22"/>
          <w:lang w:val="es-ES_tradnl"/>
        </w:rPr>
        <w:t xml:space="preserve">-Cascante, S. y Villalobos, L. (2006). </w:t>
      </w:r>
      <w:r w:rsidRPr="00864018">
        <w:rPr>
          <w:rFonts w:ascii="Arial" w:hAnsi="Arial" w:cs="Arial"/>
          <w:bCs/>
          <w:i/>
          <w:iCs/>
          <w:sz w:val="22"/>
          <w:szCs w:val="22"/>
          <w:lang w:val="es-ES_tradnl"/>
        </w:rPr>
        <w:t>Guía de la Información que custodia el Archivo Nacional de Costa Rica</w:t>
      </w:r>
      <w:r w:rsidRPr="00864018">
        <w:rPr>
          <w:rFonts w:ascii="Arial" w:hAnsi="Arial" w:cs="Arial"/>
          <w:i/>
          <w:sz w:val="22"/>
          <w:szCs w:val="22"/>
          <w:lang w:val="es-ES_tradnl"/>
        </w:rPr>
        <w:t>. Práctica de graduación para optar al grado de licenciatura en bibliotecología y documentación. Volumen II.</w:t>
      </w:r>
      <w:r w:rsidRPr="00864018">
        <w:rPr>
          <w:rFonts w:ascii="Arial" w:hAnsi="Arial" w:cs="Arial"/>
          <w:sz w:val="22"/>
          <w:szCs w:val="22"/>
          <w:lang w:val="es-ES_tradnl"/>
        </w:rPr>
        <w:t xml:space="preserve"> Universidad Nacional. Facultad de Filosofía y Letras. Escuela de Bibliotecología, Documentación e Información Heredia, Costa Rica.</w:t>
      </w:r>
    </w:p>
    <w:p w14:paraId="419D850B" w14:textId="77777777" w:rsidR="00864018" w:rsidRPr="00864018" w:rsidRDefault="00864018" w:rsidP="00864018">
      <w:pPr>
        <w:pStyle w:val="Prrafodelista"/>
        <w:tabs>
          <w:tab w:val="left" w:pos="480"/>
        </w:tabs>
        <w:suppressAutoHyphens/>
        <w:ind w:left="360"/>
        <w:jc w:val="both"/>
        <w:rPr>
          <w:rFonts w:ascii="Arial" w:hAnsi="Arial" w:cs="Arial"/>
          <w:i/>
          <w:sz w:val="22"/>
          <w:szCs w:val="22"/>
          <w:lang w:val="es-ES_tradnl"/>
        </w:rPr>
      </w:pPr>
      <w:r w:rsidRPr="00864018">
        <w:rPr>
          <w:rFonts w:ascii="Arial" w:hAnsi="Arial" w:cs="Arial"/>
          <w:sz w:val="22"/>
          <w:szCs w:val="22"/>
          <w:lang w:val="es-ES_tradnl"/>
        </w:rPr>
        <w:t xml:space="preserve">-Ministerio de Cultura Juventud y Deportes. Archivo Nacional. </w:t>
      </w:r>
      <w:r w:rsidRPr="00864018">
        <w:rPr>
          <w:rFonts w:ascii="Arial" w:hAnsi="Arial" w:cs="Arial"/>
          <w:i/>
          <w:sz w:val="22"/>
          <w:szCs w:val="22"/>
          <w:lang w:val="es-ES_tradnl"/>
        </w:rPr>
        <w:t>Centenario. (1881-1981).</w:t>
      </w:r>
    </w:p>
    <w:p w14:paraId="5305D22F" w14:textId="77777777" w:rsidR="00864018" w:rsidRPr="00864018" w:rsidRDefault="00864018" w:rsidP="00864018">
      <w:pPr>
        <w:pStyle w:val="Prrafodelista"/>
        <w:tabs>
          <w:tab w:val="left" w:pos="480"/>
        </w:tabs>
        <w:suppressAutoHyphens/>
        <w:ind w:left="360"/>
        <w:jc w:val="both"/>
        <w:rPr>
          <w:rFonts w:ascii="Arial" w:hAnsi="Arial" w:cs="Arial"/>
          <w:sz w:val="22"/>
          <w:szCs w:val="22"/>
          <w:lang w:val="es-ES_tradnl"/>
        </w:rPr>
      </w:pPr>
      <w:r w:rsidRPr="00864018">
        <w:rPr>
          <w:rFonts w:ascii="Arial" w:hAnsi="Arial" w:cs="Arial"/>
          <w:sz w:val="22"/>
          <w:szCs w:val="22"/>
          <w:lang w:val="es-ES_tradnl"/>
        </w:rPr>
        <w:t xml:space="preserve">- </w:t>
      </w:r>
      <w:proofErr w:type="spellStart"/>
      <w:r w:rsidRPr="00864018">
        <w:rPr>
          <w:rFonts w:ascii="Arial" w:hAnsi="Arial" w:cs="Arial"/>
          <w:sz w:val="22"/>
          <w:szCs w:val="22"/>
          <w:lang w:val="es-ES_tradnl"/>
        </w:rPr>
        <w:t>Wilburg</w:t>
      </w:r>
      <w:proofErr w:type="spellEnd"/>
      <w:r w:rsidRPr="00864018">
        <w:rPr>
          <w:rFonts w:ascii="Arial" w:hAnsi="Arial" w:cs="Arial"/>
          <w:sz w:val="22"/>
          <w:szCs w:val="22"/>
          <w:lang w:val="es-ES_tradnl"/>
        </w:rPr>
        <w:t xml:space="preserve"> Jiménez Castro (1986). </w:t>
      </w:r>
      <w:r w:rsidRPr="00864018">
        <w:rPr>
          <w:rFonts w:ascii="Arial" w:hAnsi="Arial" w:cs="Arial"/>
          <w:i/>
          <w:sz w:val="22"/>
          <w:szCs w:val="22"/>
          <w:lang w:val="es-ES_tradnl"/>
        </w:rPr>
        <w:t>Génesis del gobierno de Costa Rica. 1821-1981.</w:t>
      </w:r>
      <w:r w:rsidRPr="00864018">
        <w:rPr>
          <w:rFonts w:ascii="Arial" w:hAnsi="Arial" w:cs="Arial"/>
          <w:sz w:val="22"/>
          <w:szCs w:val="22"/>
          <w:lang w:val="es-ES_tradnl"/>
        </w:rPr>
        <w:t xml:space="preserve"> Editorial Alma Mater. Tomo I. 1986.</w:t>
      </w:r>
    </w:p>
    <w:p w14:paraId="215D3117" w14:textId="77777777" w:rsidR="00864018" w:rsidRPr="00864018" w:rsidRDefault="00864018" w:rsidP="00864018">
      <w:pPr>
        <w:pStyle w:val="Prrafodelista"/>
        <w:tabs>
          <w:tab w:val="left" w:pos="7125"/>
        </w:tabs>
        <w:ind w:left="360"/>
        <w:jc w:val="both"/>
        <w:rPr>
          <w:rFonts w:ascii="Arial" w:hAnsi="Arial" w:cs="Arial"/>
          <w:sz w:val="22"/>
          <w:szCs w:val="22"/>
          <w:lang w:val="es-ES_tradnl"/>
        </w:rPr>
      </w:pPr>
      <w:r w:rsidRPr="00864018">
        <w:rPr>
          <w:rFonts w:ascii="Arial" w:hAnsi="Arial" w:cs="Arial"/>
          <w:sz w:val="22"/>
          <w:szCs w:val="22"/>
          <w:lang w:val="es-ES_tradnl"/>
        </w:rPr>
        <w:tab/>
      </w:r>
    </w:p>
    <w:p w14:paraId="0F30F4EF" w14:textId="77777777" w:rsidR="00864018" w:rsidRPr="00864018" w:rsidRDefault="00864018" w:rsidP="00864018">
      <w:pPr>
        <w:pStyle w:val="Prrafodelista"/>
        <w:ind w:left="360"/>
        <w:jc w:val="both"/>
        <w:rPr>
          <w:rFonts w:ascii="Arial" w:hAnsi="Arial" w:cs="Arial"/>
          <w:b/>
          <w:sz w:val="22"/>
          <w:szCs w:val="22"/>
          <w:lang w:val="es-CR"/>
        </w:rPr>
      </w:pPr>
      <w:r w:rsidRPr="00864018">
        <w:rPr>
          <w:rFonts w:ascii="Arial" w:hAnsi="Arial" w:cs="Arial"/>
          <w:b/>
          <w:sz w:val="22"/>
          <w:szCs w:val="22"/>
          <w:lang w:val="es-CR"/>
        </w:rPr>
        <w:t>Colección de leyes y decretos. 1824-1923. Especialmente años 1944, 1922 y 1923.</w:t>
      </w:r>
    </w:p>
    <w:p w14:paraId="6431236E" w14:textId="77777777" w:rsidR="00864018" w:rsidRPr="00864018" w:rsidRDefault="00864018" w:rsidP="00864018">
      <w:pPr>
        <w:pStyle w:val="Prrafodelista"/>
        <w:ind w:left="360"/>
        <w:jc w:val="both"/>
        <w:rPr>
          <w:rFonts w:ascii="Arial" w:hAnsi="Arial" w:cs="Arial"/>
          <w:b/>
          <w:sz w:val="22"/>
          <w:szCs w:val="22"/>
          <w:lang w:val="es-CR"/>
        </w:rPr>
      </w:pPr>
    </w:p>
    <w:p w14:paraId="4C290C0D" w14:textId="77777777" w:rsidR="00864018" w:rsidRPr="00864018" w:rsidRDefault="00864018" w:rsidP="00864018">
      <w:pPr>
        <w:pStyle w:val="Prrafodelista"/>
        <w:tabs>
          <w:tab w:val="left" w:pos="1350"/>
        </w:tabs>
        <w:ind w:left="360"/>
        <w:jc w:val="both"/>
        <w:rPr>
          <w:rFonts w:ascii="Arial" w:hAnsi="Arial" w:cs="Arial"/>
          <w:sz w:val="22"/>
          <w:szCs w:val="22"/>
          <w:lang w:val="es-CR"/>
        </w:rPr>
      </w:pPr>
      <w:r w:rsidRPr="00864018">
        <w:rPr>
          <w:rFonts w:ascii="Arial" w:hAnsi="Arial" w:cs="Arial"/>
          <w:b/>
          <w:sz w:val="22"/>
          <w:szCs w:val="22"/>
          <w:lang w:val="es-CR"/>
        </w:rPr>
        <w:t>Internet</w:t>
      </w:r>
      <w:r w:rsidRPr="00864018">
        <w:rPr>
          <w:rFonts w:ascii="Arial" w:hAnsi="Arial" w:cs="Arial"/>
          <w:sz w:val="22"/>
          <w:szCs w:val="22"/>
          <w:lang w:val="es-CR"/>
        </w:rPr>
        <w:t>:</w:t>
      </w:r>
    </w:p>
    <w:p w14:paraId="5DC02770" w14:textId="77777777" w:rsidR="00864018" w:rsidRPr="00864018" w:rsidRDefault="00864018" w:rsidP="00864018">
      <w:pPr>
        <w:pStyle w:val="Prrafodelista"/>
        <w:tabs>
          <w:tab w:val="left" w:pos="480"/>
        </w:tabs>
        <w:suppressAutoHyphens/>
        <w:ind w:left="360"/>
        <w:jc w:val="both"/>
        <w:rPr>
          <w:rFonts w:ascii="Arial" w:hAnsi="Arial" w:cs="Arial"/>
          <w:sz w:val="22"/>
          <w:szCs w:val="22"/>
          <w:lang w:val="es-CR"/>
        </w:rPr>
      </w:pPr>
      <w:r w:rsidRPr="00864018">
        <w:rPr>
          <w:rFonts w:ascii="Arial" w:hAnsi="Arial" w:cs="Arial"/>
          <w:sz w:val="22"/>
          <w:szCs w:val="22"/>
          <w:lang w:val="es-ES_tradnl"/>
        </w:rPr>
        <w:t xml:space="preserve">- Barrios, S. (2010). </w:t>
      </w:r>
      <w:r w:rsidRPr="00864018">
        <w:rPr>
          <w:rFonts w:ascii="Arial" w:hAnsi="Arial" w:cs="Arial"/>
          <w:i/>
          <w:sz w:val="22"/>
          <w:szCs w:val="22"/>
          <w:lang w:val="es-ES_tradnl"/>
        </w:rPr>
        <w:t>Desarrollo del Estado y la conformación de la Administración Pública en Costa Rica de 1823 a 1917</w:t>
      </w:r>
      <w:r w:rsidRPr="00864018">
        <w:rPr>
          <w:rFonts w:ascii="Arial" w:hAnsi="Arial" w:cs="Arial"/>
          <w:sz w:val="22"/>
          <w:szCs w:val="22"/>
          <w:lang w:val="es-ES_tradnl"/>
        </w:rPr>
        <w:t xml:space="preserve">. En: Revista Electrónica de Historia: Diálogos. Escuela de </w:t>
      </w:r>
      <w:r w:rsidRPr="00864018">
        <w:rPr>
          <w:rFonts w:ascii="Arial" w:hAnsi="Arial" w:cs="Arial"/>
          <w:sz w:val="22"/>
          <w:szCs w:val="22"/>
          <w:lang w:val="es-ES_tradnl"/>
        </w:rPr>
        <w:lastRenderedPageBreak/>
        <w:t xml:space="preserve">Historia. Universidad de Costa Rica. </w:t>
      </w:r>
      <w:proofErr w:type="spellStart"/>
      <w:r w:rsidRPr="00864018">
        <w:rPr>
          <w:rFonts w:ascii="Arial" w:hAnsi="Arial" w:cs="Arial"/>
          <w:sz w:val="22"/>
          <w:szCs w:val="22"/>
          <w:lang w:val="es-ES_tradnl"/>
        </w:rPr>
        <w:t>Vol</w:t>
      </w:r>
      <w:proofErr w:type="spellEnd"/>
      <w:r w:rsidRPr="00864018">
        <w:rPr>
          <w:rFonts w:ascii="Arial" w:hAnsi="Arial" w:cs="Arial"/>
          <w:sz w:val="22"/>
          <w:szCs w:val="22"/>
          <w:lang w:val="es-ES_tradnl"/>
        </w:rPr>
        <w:t xml:space="preserve"> 11, n° 1, febrero-setiembre-2010. </w:t>
      </w:r>
      <w:proofErr w:type="gramStart"/>
      <w:r w:rsidRPr="00864018">
        <w:rPr>
          <w:rFonts w:ascii="Arial" w:hAnsi="Arial" w:cs="Arial"/>
          <w:sz w:val="22"/>
          <w:szCs w:val="22"/>
          <w:lang w:val="es-CR"/>
        </w:rPr>
        <w:t>http</w:t>
      </w:r>
      <w:proofErr w:type="gramEnd"/>
      <w:r w:rsidRPr="00864018">
        <w:rPr>
          <w:rFonts w:ascii="Arial" w:hAnsi="Arial" w:cs="Arial"/>
          <w:sz w:val="22"/>
          <w:szCs w:val="22"/>
          <w:lang w:val="es-CR"/>
        </w:rPr>
        <w:t>://historia.fcs.ucr.ac.cr/articulos/2010/v11n1/02desarrollo.pdf, consultado el día 27 de enero de 2016.</w:t>
      </w:r>
    </w:p>
    <w:p w14:paraId="2FB5CFED" w14:textId="77777777" w:rsidR="00864018" w:rsidRPr="00864018" w:rsidRDefault="00864018" w:rsidP="00864018">
      <w:pPr>
        <w:pStyle w:val="Prrafodelista"/>
        <w:tabs>
          <w:tab w:val="left" w:pos="480"/>
        </w:tabs>
        <w:suppressAutoHyphens/>
        <w:ind w:left="360"/>
        <w:jc w:val="both"/>
        <w:rPr>
          <w:rFonts w:ascii="Arial" w:hAnsi="Arial" w:cs="Arial"/>
          <w:sz w:val="22"/>
          <w:szCs w:val="22"/>
          <w:lang w:val="es-ES_tradnl"/>
        </w:rPr>
      </w:pPr>
    </w:p>
    <w:p w14:paraId="6CF68193" w14:textId="77777777" w:rsidR="00864018" w:rsidRPr="00864018" w:rsidRDefault="00864018" w:rsidP="00864018">
      <w:pPr>
        <w:numPr>
          <w:ilvl w:val="1"/>
          <w:numId w:val="9"/>
        </w:numPr>
        <w:tabs>
          <w:tab w:val="num" w:pos="0"/>
        </w:tabs>
        <w:ind w:left="0" w:firstLine="0"/>
        <w:jc w:val="both"/>
        <w:rPr>
          <w:rFonts w:cs="Arial"/>
        </w:rPr>
      </w:pPr>
      <w:r w:rsidRPr="00864018">
        <w:rPr>
          <w:rFonts w:cs="Arial"/>
        </w:rPr>
        <w:t xml:space="preserve"> </w:t>
      </w:r>
      <w:r w:rsidRPr="00864018">
        <w:rPr>
          <w:rFonts w:cs="Arial"/>
          <w:b/>
          <w:bCs/>
        </w:rPr>
        <w:t xml:space="preserve">REGLAS O NORMAS: </w:t>
      </w:r>
    </w:p>
    <w:p w14:paraId="47D5D35F" w14:textId="77777777" w:rsidR="00864018" w:rsidRPr="00864018" w:rsidRDefault="00864018" w:rsidP="00864018">
      <w:pPr>
        <w:jc w:val="both"/>
        <w:rPr>
          <w:rFonts w:cs="Arial"/>
          <w:b/>
          <w:bCs/>
        </w:rPr>
      </w:pPr>
    </w:p>
    <w:p w14:paraId="711ABDCC" w14:textId="77777777" w:rsidR="00864018" w:rsidRPr="00864018" w:rsidRDefault="00864018" w:rsidP="00864018">
      <w:pPr>
        <w:pStyle w:val="Prrafodelista"/>
        <w:numPr>
          <w:ilvl w:val="0"/>
          <w:numId w:val="29"/>
        </w:numPr>
        <w:contextualSpacing/>
        <w:jc w:val="both"/>
        <w:rPr>
          <w:rFonts w:ascii="Arial" w:hAnsi="Arial" w:cs="Arial"/>
          <w:sz w:val="22"/>
          <w:szCs w:val="22"/>
          <w:lang w:val="es-ES_tradnl" w:eastAsia="ar-SA"/>
        </w:rPr>
      </w:pPr>
      <w:r w:rsidRPr="00864018">
        <w:rPr>
          <w:rFonts w:ascii="Arial" w:hAnsi="Arial" w:cs="Arial"/>
          <w:bCs/>
          <w:sz w:val="22"/>
          <w:szCs w:val="22"/>
          <w:lang w:eastAsia="ar-SA"/>
        </w:rPr>
        <w:t xml:space="preserve">- </w:t>
      </w:r>
      <w:r w:rsidRPr="00864018">
        <w:rPr>
          <w:rFonts w:ascii="Arial" w:hAnsi="Arial" w:cs="Arial"/>
          <w:sz w:val="22"/>
          <w:szCs w:val="22"/>
          <w:lang w:val="es-ES_tradnl"/>
        </w:rPr>
        <w:t xml:space="preserve">Ministerio de Cultura, Juventud y Deportes (2003). </w:t>
      </w:r>
      <w:r w:rsidRPr="00864018">
        <w:rPr>
          <w:rFonts w:ascii="Arial" w:hAnsi="Arial" w:cs="Arial"/>
          <w:i/>
          <w:iCs/>
          <w:sz w:val="22"/>
          <w:szCs w:val="22"/>
          <w:lang w:val="es-ES_tradnl"/>
        </w:rPr>
        <w:t>Ley del Sistema Nacional de Archivos Nº 7202 del 24 de octubre de 1990 y su Reglamento.</w:t>
      </w:r>
      <w:r w:rsidRPr="00864018">
        <w:rPr>
          <w:rFonts w:ascii="Arial" w:hAnsi="Arial" w:cs="Arial"/>
          <w:sz w:val="22"/>
          <w:szCs w:val="22"/>
          <w:lang w:val="es-ES_tradnl"/>
        </w:rPr>
        <w:t xml:space="preserve"> San José, Costa Rica, 3 ed. Enero de 2003.</w:t>
      </w:r>
    </w:p>
    <w:p w14:paraId="29F03698" w14:textId="77777777" w:rsidR="00864018" w:rsidRPr="00864018" w:rsidRDefault="00864018" w:rsidP="00864018">
      <w:pPr>
        <w:pStyle w:val="Prrafodelista"/>
        <w:numPr>
          <w:ilvl w:val="0"/>
          <w:numId w:val="29"/>
        </w:numPr>
        <w:contextualSpacing/>
        <w:jc w:val="both"/>
        <w:rPr>
          <w:rFonts w:ascii="Arial" w:hAnsi="Arial" w:cs="Arial"/>
          <w:sz w:val="22"/>
          <w:szCs w:val="22"/>
          <w:lang w:val="es-ES_tradnl" w:eastAsia="ar-SA"/>
        </w:rPr>
      </w:pPr>
      <w:r w:rsidRPr="00864018">
        <w:rPr>
          <w:rFonts w:ascii="Arial" w:hAnsi="Arial" w:cs="Arial"/>
          <w:sz w:val="22"/>
          <w:szCs w:val="22"/>
          <w:lang w:val="es-ES_tradnl"/>
        </w:rPr>
        <w:t xml:space="preserve">- Consejo Internacional de Archivos. ISAD (G) (2000). </w:t>
      </w:r>
      <w:r w:rsidRPr="00864018">
        <w:rPr>
          <w:rFonts w:ascii="Arial" w:hAnsi="Arial" w:cs="Arial"/>
          <w:i/>
          <w:sz w:val="22"/>
          <w:szCs w:val="22"/>
          <w:lang w:val="es-ES_tradnl"/>
        </w:rPr>
        <w:t>Norma Internacional General de Descripción Archivística</w:t>
      </w:r>
      <w:r w:rsidRPr="00864018">
        <w:rPr>
          <w:rFonts w:ascii="Arial" w:hAnsi="Arial" w:cs="Arial"/>
          <w:sz w:val="22"/>
          <w:szCs w:val="22"/>
          <w:lang w:val="es-ES_tradnl"/>
        </w:rPr>
        <w:t>. Madrid, Subdirección de los Archivos Estatales.</w:t>
      </w:r>
    </w:p>
    <w:p w14:paraId="7F6B25E1" w14:textId="77777777" w:rsidR="00864018" w:rsidRPr="00864018" w:rsidRDefault="00864018" w:rsidP="00864018">
      <w:pPr>
        <w:pStyle w:val="Prrafodelista"/>
        <w:numPr>
          <w:ilvl w:val="0"/>
          <w:numId w:val="29"/>
        </w:numPr>
        <w:contextualSpacing/>
        <w:jc w:val="both"/>
        <w:rPr>
          <w:rFonts w:ascii="Arial" w:hAnsi="Arial" w:cs="Arial"/>
          <w:sz w:val="22"/>
          <w:szCs w:val="22"/>
          <w:lang w:val="es-ES_tradnl" w:eastAsia="ar-SA"/>
        </w:rPr>
      </w:pPr>
      <w:r w:rsidRPr="00864018">
        <w:rPr>
          <w:rFonts w:ascii="Arial" w:hAnsi="Arial" w:cs="Arial"/>
          <w:sz w:val="22"/>
          <w:szCs w:val="22"/>
          <w:lang w:val="es-ES_tradnl"/>
        </w:rPr>
        <w:t xml:space="preserve">- Dirección General del Archivo Nacional (2010). </w:t>
      </w:r>
      <w:r w:rsidRPr="00864018">
        <w:rPr>
          <w:rFonts w:ascii="Arial" w:hAnsi="Arial" w:cs="Arial"/>
          <w:i/>
          <w:sz w:val="22"/>
          <w:szCs w:val="22"/>
          <w:lang w:val="es-ES_tradnl"/>
        </w:rPr>
        <w:t xml:space="preserve">Aplicación de la Norma Internacional de Descripción ISAD (G) en el Archivo Nacional. </w:t>
      </w:r>
      <w:r w:rsidRPr="00864018">
        <w:rPr>
          <w:rFonts w:ascii="Arial" w:hAnsi="Arial" w:cs="Arial"/>
          <w:sz w:val="22"/>
          <w:szCs w:val="22"/>
          <w:lang w:val="es-ES_tradnl"/>
        </w:rPr>
        <w:t>Actualizada en mayo de 2011.</w:t>
      </w:r>
    </w:p>
    <w:p w14:paraId="4C991F93" w14:textId="77777777" w:rsidR="00864018" w:rsidRPr="00864018" w:rsidRDefault="00864018" w:rsidP="00864018">
      <w:pPr>
        <w:jc w:val="both"/>
        <w:rPr>
          <w:rFonts w:cs="Arial"/>
        </w:rPr>
      </w:pPr>
    </w:p>
    <w:p w14:paraId="295D278A" w14:textId="0288699E" w:rsidR="00864018" w:rsidRPr="00864018" w:rsidRDefault="00864018" w:rsidP="00864018">
      <w:pPr>
        <w:pStyle w:val="Sinespaciado"/>
        <w:jc w:val="both"/>
        <w:rPr>
          <w:rFonts w:ascii="Arial" w:hAnsi="Arial" w:cs="Arial"/>
          <w:b/>
          <w:bCs/>
          <w:sz w:val="22"/>
          <w:szCs w:val="22"/>
          <w:lang w:val="es-CR"/>
        </w:rPr>
      </w:pPr>
      <w:r w:rsidRPr="00864018">
        <w:rPr>
          <w:rFonts w:ascii="Arial" w:hAnsi="Arial" w:cs="Arial"/>
          <w:b/>
          <w:bCs/>
          <w:sz w:val="22"/>
          <w:szCs w:val="22"/>
          <w:lang w:val="es-CR"/>
        </w:rPr>
        <w:t>7.3</w:t>
      </w:r>
      <w:r w:rsidR="00AF5FF3">
        <w:rPr>
          <w:rFonts w:ascii="Arial" w:hAnsi="Arial" w:cs="Arial"/>
          <w:b/>
          <w:bCs/>
          <w:sz w:val="22"/>
          <w:szCs w:val="22"/>
          <w:lang w:val="es-CR"/>
        </w:rPr>
        <w:t xml:space="preserve"> </w:t>
      </w:r>
      <w:bookmarkStart w:id="0" w:name="_GoBack"/>
      <w:bookmarkEnd w:id="0"/>
      <w:r w:rsidRPr="00864018">
        <w:rPr>
          <w:rFonts w:ascii="Arial" w:hAnsi="Arial" w:cs="Arial"/>
          <w:b/>
          <w:sz w:val="22"/>
          <w:szCs w:val="22"/>
          <w:lang w:val="es-CR"/>
        </w:rPr>
        <w:t>FECHA (S) DE LA (S) DESCRIPCIÓN (ES):</w:t>
      </w:r>
      <w:r w:rsidRPr="00864018">
        <w:rPr>
          <w:rFonts w:ascii="Arial" w:hAnsi="Arial" w:cs="Arial"/>
          <w:sz w:val="22"/>
          <w:szCs w:val="22"/>
          <w:lang w:val="es-ES_tradnl"/>
        </w:rPr>
        <w:t xml:space="preserve"> 2016-03-28. </w:t>
      </w:r>
      <w:r w:rsidRPr="00864018">
        <w:rPr>
          <w:rFonts w:ascii="Arial" w:hAnsi="Arial" w:cs="Arial"/>
          <w:bCs/>
          <w:sz w:val="22"/>
          <w:szCs w:val="22"/>
          <w:lang w:val="es-ES_tradnl"/>
        </w:rPr>
        <w:t>Revisada y aprobada por la Comisión de Descripción del Archivo Nacional, sesión 3-2016.</w:t>
      </w:r>
    </w:p>
    <w:p w14:paraId="69434869" w14:textId="314CE3D3" w:rsidR="00550F08" w:rsidRPr="00864018" w:rsidRDefault="00550F08" w:rsidP="00864018">
      <w:pPr>
        <w:jc w:val="both"/>
        <w:rPr>
          <w:rFonts w:cs="Arial"/>
        </w:rPr>
      </w:pPr>
    </w:p>
    <w:sectPr w:rsidR="00550F08" w:rsidRPr="00864018"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CA577" w14:textId="77777777" w:rsidR="00331CDD" w:rsidRDefault="00331CDD" w:rsidP="00602906">
      <w:r>
        <w:separator/>
      </w:r>
    </w:p>
  </w:endnote>
  <w:endnote w:type="continuationSeparator" w:id="0">
    <w:p w14:paraId="5EA33430" w14:textId="77777777" w:rsidR="00331CDD" w:rsidRDefault="00331CDD"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5A7CB705"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68926" w14:textId="77777777" w:rsidR="00331CDD" w:rsidRDefault="00331CDD" w:rsidP="00602906">
      <w:r>
        <w:separator/>
      </w:r>
    </w:p>
  </w:footnote>
  <w:footnote w:type="continuationSeparator" w:id="0">
    <w:p w14:paraId="2665779C" w14:textId="77777777" w:rsidR="00331CDD" w:rsidRDefault="00331CDD" w:rsidP="00602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53E441E"/>
    <w:multiLevelType w:val="hybridMultilevel"/>
    <w:tmpl w:val="97AA01EA"/>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131B1E4D"/>
    <w:multiLevelType w:val="multilevel"/>
    <w:tmpl w:val="4C408A46"/>
    <w:lvl w:ilvl="0">
      <w:start w:val="4"/>
      <w:numFmt w:val="decimal"/>
      <w:lvlText w:val="%1"/>
      <w:lvlJc w:val="left"/>
      <w:pPr>
        <w:ind w:left="360" w:hanging="360"/>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3">
    <w:nsid w:val="1A4759A0"/>
    <w:multiLevelType w:val="multilevel"/>
    <w:tmpl w:val="CB307CE8"/>
    <w:lvl w:ilvl="0">
      <w:start w:val="5"/>
      <w:numFmt w:val="decimal"/>
      <w:lvlText w:val="%1"/>
      <w:lvlJc w:val="left"/>
      <w:pPr>
        <w:ind w:left="360" w:hanging="360"/>
      </w:pPr>
    </w:lvl>
    <w:lvl w:ilvl="1">
      <w:start w:val="3"/>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nsid w:val="1B4A1275"/>
    <w:multiLevelType w:val="hybridMultilevel"/>
    <w:tmpl w:val="EB7CA130"/>
    <w:lvl w:ilvl="0" w:tplc="4538C8B8">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5">
    <w:nsid w:val="1F5A05B3"/>
    <w:multiLevelType w:val="multilevel"/>
    <w:tmpl w:val="0A945072"/>
    <w:lvl w:ilvl="0">
      <w:start w:val="3"/>
      <w:numFmt w:val="decimal"/>
      <w:lvlText w:val="%1"/>
      <w:lvlJc w:val="left"/>
      <w:pPr>
        <w:ind w:left="360" w:hanging="360"/>
      </w:pPr>
      <w:rPr>
        <w:b w:val="0"/>
      </w:rPr>
    </w:lvl>
    <w:lvl w:ilvl="1">
      <w:start w:val="3"/>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16">
    <w:nsid w:val="24FE62BF"/>
    <w:multiLevelType w:val="multilevel"/>
    <w:tmpl w:val="0A8E3712"/>
    <w:lvl w:ilvl="0">
      <w:start w:val="2"/>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7">
    <w:nsid w:val="3BE92BCD"/>
    <w:multiLevelType w:val="multilevel"/>
    <w:tmpl w:val="7BD648B6"/>
    <w:lvl w:ilvl="0">
      <w:start w:val="4"/>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18">
    <w:nsid w:val="3C3D4314"/>
    <w:multiLevelType w:val="multilevel"/>
    <w:tmpl w:val="64EC21DE"/>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isLgl/>
      <w:lvlText w:val="%1.%2.%3.%4.%5.%6"/>
      <w:lvlJc w:val="left"/>
      <w:pPr>
        <w:ind w:left="1440" w:hanging="1440"/>
      </w:pPr>
      <w:rPr>
        <w:b/>
      </w:rPr>
    </w:lvl>
    <w:lvl w:ilvl="6">
      <w:start w:val="1"/>
      <w:numFmt w:val="decimal"/>
      <w:isLgl/>
      <w:lvlText w:val="%1.%2.%3.%4.%5.%6.%7"/>
      <w:lvlJc w:val="left"/>
      <w:pPr>
        <w:ind w:left="1800" w:hanging="1800"/>
      </w:pPr>
      <w:rPr>
        <w:b/>
      </w:rPr>
    </w:lvl>
    <w:lvl w:ilvl="7">
      <w:start w:val="1"/>
      <w:numFmt w:val="decimal"/>
      <w:isLgl/>
      <w:lvlText w:val="%1.%2.%3.%4.%5.%6.%7.%8"/>
      <w:lvlJc w:val="left"/>
      <w:pPr>
        <w:ind w:left="2160" w:hanging="2160"/>
      </w:pPr>
      <w:rPr>
        <w:b/>
      </w:rPr>
    </w:lvl>
    <w:lvl w:ilvl="8">
      <w:start w:val="1"/>
      <w:numFmt w:val="decimal"/>
      <w:isLgl/>
      <w:lvlText w:val="%1.%2.%3.%4.%5.%6.%7.%8.%9"/>
      <w:lvlJc w:val="left"/>
      <w:pPr>
        <w:ind w:left="2160" w:hanging="2160"/>
      </w:pPr>
      <w:rPr>
        <w:b/>
      </w:rPr>
    </w:lvl>
  </w:abstractNum>
  <w:abstractNum w:abstractNumId="19">
    <w:nsid w:val="3FA71B7E"/>
    <w:multiLevelType w:val="multilevel"/>
    <w:tmpl w:val="F482E2F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0">
    <w:nsid w:val="44261DB6"/>
    <w:multiLevelType w:val="multilevel"/>
    <w:tmpl w:val="F788E3C6"/>
    <w:lvl w:ilvl="0">
      <w:start w:val="2"/>
      <w:numFmt w:val="decimal"/>
      <w:lvlText w:val="%1"/>
      <w:lvlJc w:val="left"/>
      <w:pPr>
        <w:ind w:left="360" w:hanging="360"/>
      </w:pPr>
      <w:rPr>
        <w:rFonts w:cs="Times New Roman"/>
        <w:b/>
      </w:rPr>
    </w:lvl>
    <w:lvl w:ilvl="1">
      <w:start w:val="2"/>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440" w:hanging="144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2160" w:hanging="2160"/>
      </w:pPr>
      <w:rPr>
        <w:rFonts w:cs="Times New Roman"/>
        <w:b/>
      </w:rPr>
    </w:lvl>
    <w:lvl w:ilvl="8">
      <w:start w:val="1"/>
      <w:numFmt w:val="decimal"/>
      <w:lvlText w:val="%1.%2.%3.%4.%5.%6.%7.%8.%9"/>
      <w:lvlJc w:val="left"/>
      <w:pPr>
        <w:ind w:left="2160" w:hanging="2160"/>
      </w:pPr>
      <w:rPr>
        <w:rFonts w:cs="Times New Roman"/>
        <w:b/>
      </w:rPr>
    </w:lvl>
  </w:abstractNum>
  <w:abstractNum w:abstractNumId="21">
    <w:nsid w:val="47F54BF6"/>
    <w:multiLevelType w:val="multilevel"/>
    <w:tmpl w:val="D8EEACE6"/>
    <w:lvl w:ilvl="0">
      <w:start w:val="4"/>
      <w:numFmt w:val="decimal"/>
      <w:lvlText w:val="%1"/>
      <w:lvlJc w:val="left"/>
      <w:pPr>
        <w:ind w:left="360" w:hanging="360"/>
      </w:pPr>
      <w:rPr>
        <w:b/>
      </w:rPr>
    </w:lvl>
    <w:lvl w:ilvl="1">
      <w:start w:val="5"/>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2">
    <w:nsid w:val="4A0F55B1"/>
    <w:multiLevelType w:val="multilevel"/>
    <w:tmpl w:val="42FE84DC"/>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3">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4">
    <w:nsid w:val="4A9E49C1"/>
    <w:multiLevelType w:val="hybridMultilevel"/>
    <w:tmpl w:val="3AFAF894"/>
    <w:lvl w:ilvl="0" w:tplc="F34E9AC0">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5">
    <w:nsid w:val="54174CBC"/>
    <w:multiLevelType w:val="hybridMultilevel"/>
    <w:tmpl w:val="087CFECC"/>
    <w:lvl w:ilvl="0" w:tplc="EB4C6A1A">
      <w:start w:val="30"/>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6">
    <w:nsid w:val="565555B8"/>
    <w:multiLevelType w:val="multilevel"/>
    <w:tmpl w:val="B76670F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7">
    <w:nsid w:val="5E617580"/>
    <w:multiLevelType w:val="multilevel"/>
    <w:tmpl w:val="029C8F3C"/>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612E5EC0"/>
    <w:multiLevelType w:val="hybridMultilevel"/>
    <w:tmpl w:val="8EA8386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9">
    <w:nsid w:val="648D3A80"/>
    <w:multiLevelType w:val="multilevel"/>
    <w:tmpl w:val="2060549E"/>
    <w:lvl w:ilvl="0">
      <w:start w:val="2"/>
      <w:numFmt w:val="decimal"/>
      <w:lvlText w:val="%1"/>
      <w:lvlJc w:val="left"/>
      <w:pPr>
        <w:ind w:left="360" w:hanging="360"/>
      </w:pPr>
      <w:rPr>
        <w:b/>
        <w:sz w:val="20"/>
      </w:rPr>
    </w:lvl>
    <w:lvl w:ilvl="1">
      <w:start w:val="1"/>
      <w:numFmt w:val="decimal"/>
      <w:lvlText w:val="%1.%2"/>
      <w:lvlJc w:val="left"/>
      <w:pPr>
        <w:ind w:left="720" w:hanging="720"/>
      </w:pPr>
      <w:rPr>
        <w:b/>
        <w:sz w:val="20"/>
      </w:rPr>
    </w:lvl>
    <w:lvl w:ilvl="2">
      <w:start w:val="1"/>
      <w:numFmt w:val="decimal"/>
      <w:lvlText w:val="%1.%2.%3"/>
      <w:lvlJc w:val="left"/>
      <w:pPr>
        <w:ind w:left="720" w:hanging="720"/>
      </w:pPr>
      <w:rPr>
        <w:b/>
        <w:sz w:val="20"/>
      </w:rPr>
    </w:lvl>
    <w:lvl w:ilvl="3">
      <w:start w:val="1"/>
      <w:numFmt w:val="decimal"/>
      <w:lvlText w:val="%1.%2.%3.%4"/>
      <w:lvlJc w:val="left"/>
      <w:pPr>
        <w:ind w:left="1080" w:hanging="1080"/>
      </w:pPr>
      <w:rPr>
        <w:b/>
        <w:sz w:val="20"/>
      </w:rPr>
    </w:lvl>
    <w:lvl w:ilvl="4">
      <w:start w:val="1"/>
      <w:numFmt w:val="decimal"/>
      <w:lvlText w:val="%1.%2.%3.%4.%5"/>
      <w:lvlJc w:val="left"/>
      <w:pPr>
        <w:ind w:left="1440" w:hanging="1440"/>
      </w:pPr>
      <w:rPr>
        <w:b/>
        <w:sz w:val="20"/>
      </w:rPr>
    </w:lvl>
    <w:lvl w:ilvl="5">
      <w:start w:val="1"/>
      <w:numFmt w:val="decimal"/>
      <w:lvlText w:val="%1.%2.%3.%4.%5.%6"/>
      <w:lvlJc w:val="left"/>
      <w:pPr>
        <w:ind w:left="1800" w:hanging="1800"/>
      </w:pPr>
      <w:rPr>
        <w:b/>
        <w:sz w:val="20"/>
      </w:rPr>
    </w:lvl>
    <w:lvl w:ilvl="6">
      <w:start w:val="1"/>
      <w:numFmt w:val="decimal"/>
      <w:lvlText w:val="%1.%2.%3.%4.%5.%6.%7"/>
      <w:lvlJc w:val="left"/>
      <w:pPr>
        <w:ind w:left="1800" w:hanging="1800"/>
      </w:pPr>
      <w:rPr>
        <w:b/>
        <w:sz w:val="20"/>
      </w:rPr>
    </w:lvl>
    <w:lvl w:ilvl="7">
      <w:start w:val="1"/>
      <w:numFmt w:val="decimal"/>
      <w:lvlText w:val="%1.%2.%3.%4.%5.%6.%7.%8"/>
      <w:lvlJc w:val="left"/>
      <w:pPr>
        <w:ind w:left="2160" w:hanging="2160"/>
      </w:pPr>
      <w:rPr>
        <w:b/>
        <w:sz w:val="20"/>
      </w:rPr>
    </w:lvl>
    <w:lvl w:ilvl="8">
      <w:start w:val="1"/>
      <w:numFmt w:val="decimal"/>
      <w:lvlText w:val="%1.%2.%3.%4.%5.%6.%7.%8.%9"/>
      <w:lvlJc w:val="left"/>
      <w:pPr>
        <w:ind w:left="2520" w:hanging="2520"/>
      </w:pPr>
      <w:rPr>
        <w:b/>
        <w:sz w:val="20"/>
      </w:rPr>
    </w:lvl>
  </w:abstractNum>
  <w:abstractNum w:abstractNumId="30">
    <w:nsid w:val="666B68F8"/>
    <w:multiLevelType w:val="multilevel"/>
    <w:tmpl w:val="4B66FBE6"/>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31">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2">
    <w:nsid w:val="69C454E2"/>
    <w:multiLevelType w:val="multilevel"/>
    <w:tmpl w:val="9E468208"/>
    <w:lvl w:ilvl="0">
      <w:start w:val="7"/>
      <w:numFmt w:val="decimal"/>
      <w:lvlText w:val="%1."/>
      <w:lvlJc w:val="left"/>
      <w:pPr>
        <w:tabs>
          <w:tab w:val="num" w:pos="360"/>
        </w:tabs>
        <w:ind w:left="360" w:hanging="360"/>
      </w:pPr>
      <w:rPr>
        <w:color w:val="auto"/>
      </w:rPr>
    </w:lvl>
    <w:lvl w:ilvl="1">
      <w:start w:val="1"/>
      <w:numFmt w:val="decimal"/>
      <w:isLgl/>
      <w:lvlText w:val="%1.%2."/>
      <w:lvlJc w:val="left"/>
      <w:pPr>
        <w:tabs>
          <w:tab w:val="num" w:pos="704"/>
        </w:tabs>
        <w:ind w:left="704"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3">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4">
    <w:nsid w:val="72A56514"/>
    <w:multiLevelType w:val="multilevel"/>
    <w:tmpl w:val="315C1A62"/>
    <w:lvl w:ilvl="0">
      <w:start w:val="5"/>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5">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6">
    <w:nsid w:val="781F7EF0"/>
    <w:multiLevelType w:val="multilevel"/>
    <w:tmpl w:val="388CC530"/>
    <w:lvl w:ilvl="0">
      <w:start w:val="2"/>
      <w:numFmt w:val="decimal"/>
      <w:lvlText w:val="%1"/>
      <w:lvlJc w:val="left"/>
      <w:pPr>
        <w:ind w:left="360" w:hanging="360"/>
      </w:pPr>
      <w:rPr>
        <w:rFonts w:ascii="Verdana" w:hAnsi="Verdana" w:hint="default"/>
        <w:b/>
      </w:rPr>
    </w:lvl>
    <w:lvl w:ilvl="1">
      <w:start w:val="1"/>
      <w:numFmt w:val="decimal"/>
      <w:lvlText w:val="%1.%2"/>
      <w:lvlJc w:val="left"/>
      <w:pPr>
        <w:ind w:left="360" w:hanging="36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720" w:hanging="720"/>
      </w:pPr>
      <w:rPr>
        <w:rFonts w:ascii="Verdana" w:hAnsi="Verdana" w:hint="default"/>
        <w:b/>
      </w:rPr>
    </w:lvl>
    <w:lvl w:ilvl="4">
      <w:start w:val="1"/>
      <w:numFmt w:val="decimal"/>
      <w:lvlText w:val="%1.%2.%3.%4.%5"/>
      <w:lvlJc w:val="left"/>
      <w:pPr>
        <w:ind w:left="720" w:hanging="720"/>
      </w:pPr>
      <w:rPr>
        <w:rFonts w:ascii="Verdana" w:hAnsi="Verdana" w:hint="default"/>
        <w:b/>
      </w:rPr>
    </w:lvl>
    <w:lvl w:ilvl="5">
      <w:start w:val="1"/>
      <w:numFmt w:val="decimal"/>
      <w:lvlText w:val="%1.%2.%3.%4.%5.%6"/>
      <w:lvlJc w:val="left"/>
      <w:pPr>
        <w:ind w:left="1080" w:hanging="1080"/>
      </w:pPr>
      <w:rPr>
        <w:rFonts w:ascii="Verdana" w:hAnsi="Verdana" w:hint="default"/>
        <w:b/>
      </w:rPr>
    </w:lvl>
    <w:lvl w:ilvl="6">
      <w:start w:val="1"/>
      <w:numFmt w:val="decimal"/>
      <w:lvlText w:val="%1.%2.%3.%4.%5.%6.%7"/>
      <w:lvlJc w:val="left"/>
      <w:pPr>
        <w:ind w:left="1080" w:hanging="1080"/>
      </w:pPr>
      <w:rPr>
        <w:rFonts w:ascii="Verdana" w:hAnsi="Verdana" w:hint="default"/>
        <w:b/>
      </w:rPr>
    </w:lvl>
    <w:lvl w:ilvl="7">
      <w:start w:val="1"/>
      <w:numFmt w:val="decimal"/>
      <w:lvlText w:val="%1.%2.%3.%4.%5.%6.%7.%8"/>
      <w:lvlJc w:val="left"/>
      <w:pPr>
        <w:ind w:left="1440" w:hanging="1440"/>
      </w:pPr>
      <w:rPr>
        <w:rFonts w:ascii="Verdana" w:hAnsi="Verdana" w:hint="default"/>
        <w:b/>
      </w:rPr>
    </w:lvl>
    <w:lvl w:ilvl="8">
      <w:start w:val="1"/>
      <w:numFmt w:val="decimal"/>
      <w:lvlText w:val="%1.%2.%3.%4.%5.%6.%7.%8.%9"/>
      <w:lvlJc w:val="left"/>
      <w:pPr>
        <w:ind w:left="1440" w:hanging="1440"/>
      </w:pPr>
      <w:rPr>
        <w:rFonts w:ascii="Verdana" w:hAnsi="Verdana" w:hint="default"/>
        <w:b/>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636D7"/>
    <w:rsid w:val="00083BC1"/>
    <w:rsid w:val="000A2019"/>
    <w:rsid w:val="000A2A06"/>
    <w:rsid w:val="000B37FA"/>
    <w:rsid w:val="00102082"/>
    <w:rsid w:val="00121DC6"/>
    <w:rsid w:val="001331FD"/>
    <w:rsid w:val="00134465"/>
    <w:rsid w:val="00136788"/>
    <w:rsid w:val="00144ABD"/>
    <w:rsid w:val="0016679D"/>
    <w:rsid w:val="0018675A"/>
    <w:rsid w:val="00191459"/>
    <w:rsid w:val="001F3DCB"/>
    <w:rsid w:val="00225783"/>
    <w:rsid w:val="00231BF7"/>
    <w:rsid w:val="00236F86"/>
    <w:rsid w:val="00240C66"/>
    <w:rsid w:val="002562E6"/>
    <w:rsid w:val="002676D8"/>
    <w:rsid w:val="00285EAE"/>
    <w:rsid w:val="00291E42"/>
    <w:rsid w:val="002A0CF5"/>
    <w:rsid w:val="002B2F5D"/>
    <w:rsid w:val="002B54C3"/>
    <w:rsid w:val="002F027B"/>
    <w:rsid w:val="002F1A6F"/>
    <w:rsid w:val="003102DA"/>
    <w:rsid w:val="00331CDD"/>
    <w:rsid w:val="0034671D"/>
    <w:rsid w:val="003702DE"/>
    <w:rsid w:val="003755B0"/>
    <w:rsid w:val="003A2B54"/>
    <w:rsid w:val="003A36DF"/>
    <w:rsid w:val="003B7978"/>
    <w:rsid w:val="00443518"/>
    <w:rsid w:val="004E529F"/>
    <w:rsid w:val="004F2571"/>
    <w:rsid w:val="00502F9E"/>
    <w:rsid w:val="00521B59"/>
    <w:rsid w:val="00521D9D"/>
    <w:rsid w:val="00550F08"/>
    <w:rsid w:val="00586D5F"/>
    <w:rsid w:val="005912B6"/>
    <w:rsid w:val="005A6B82"/>
    <w:rsid w:val="005D3C7E"/>
    <w:rsid w:val="005D64E9"/>
    <w:rsid w:val="00602906"/>
    <w:rsid w:val="00612975"/>
    <w:rsid w:val="00623592"/>
    <w:rsid w:val="0062472C"/>
    <w:rsid w:val="006E7965"/>
    <w:rsid w:val="007211E4"/>
    <w:rsid w:val="007268F8"/>
    <w:rsid w:val="007647D9"/>
    <w:rsid w:val="007A32FA"/>
    <w:rsid w:val="007B4427"/>
    <w:rsid w:val="007D29AE"/>
    <w:rsid w:val="00833FB5"/>
    <w:rsid w:val="00836E21"/>
    <w:rsid w:val="00864018"/>
    <w:rsid w:val="00902AEE"/>
    <w:rsid w:val="009136A0"/>
    <w:rsid w:val="009337A7"/>
    <w:rsid w:val="0096318C"/>
    <w:rsid w:val="009A0613"/>
    <w:rsid w:val="009B1D8F"/>
    <w:rsid w:val="009C4662"/>
    <w:rsid w:val="009D7720"/>
    <w:rsid w:val="009E138F"/>
    <w:rsid w:val="009F3A23"/>
    <w:rsid w:val="00A074ED"/>
    <w:rsid w:val="00A07EF0"/>
    <w:rsid w:val="00A1635C"/>
    <w:rsid w:val="00A16404"/>
    <w:rsid w:val="00A6609B"/>
    <w:rsid w:val="00A756C1"/>
    <w:rsid w:val="00A822A2"/>
    <w:rsid w:val="00A85F1F"/>
    <w:rsid w:val="00AB2438"/>
    <w:rsid w:val="00AB351E"/>
    <w:rsid w:val="00AC42E2"/>
    <w:rsid w:val="00AF215D"/>
    <w:rsid w:val="00AF5E02"/>
    <w:rsid w:val="00AF5FF3"/>
    <w:rsid w:val="00B26D3D"/>
    <w:rsid w:val="00B30829"/>
    <w:rsid w:val="00B53DCB"/>
    <w:rsid w:val="00BB06DB"/>
    <w:rsid w:val="00BC5DEC"/>
    <w:rsid w:val="00C11C07"/>
    <w:rsid w:val="00C160EC"/>
    <w:rsid w:val="00C20E61"/>
    <w:rsid w:val="00C5626A"/>
    <w:rsid w:val="00C76A29"/>
    <w:rsid w:val="00C83FC6"/>
    <w:rsid w:val="00C850AA"/>
    <w:rsid w:val="00CE205F"/>
    <w:rsid w:val="00D407F6"/>
    <w:rsid w:val="00D638A1"/>
    <w:rsid w:val="00D7101F"/>
    <w:rsid w:val="00DA50CF"/>
    <w:rsid w:val="00DC12F6"/>
    <w:rsid w:val="00DD17D2"/>
    <w:rsid w:val="00DD4C04"/>
    <w:rsid w:val="00DF48E5"/>
    <w:rsid w:val="00E02D41"/>
    <w:rsid w:val="00E05D8E"/>
    <w:rsid w:val="00E20D28"/>
    <w:rsid w:val="00E33250"/>
    <w:rsid w:val="00E4347A"/>
    <w:rsid w:val="00E677E3"/>
    <w:rsid w:val="00E735AD"/>
    <w:rsid w:val="00E856B3"/>
    <w:rsid w:val="00EB0669"/>
    <w:rsid w:val="00EB7CFB"/>
    <w:rsid w:val="00EB7EF7"/>
    <w:rsid w:val="00F2227A"/>
    <w:rsid w:val="00F5790B"/>
    <w:rsid w:val="00F63494"/>
    <w:rsid w:val="00F90BF8"/>
    <w:rsid w:val="00F97071"/>
    <w:rsid w:val="00FA0E76"/>
    <w:rsid w:val="00FA1C82"/>
    <w:rsid w:val="00FB71B0"/>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uiPriority w:val="22"/>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uiPriority w:val="22"/>
    <w:qFormat/>
    <w:rsid w:val="00C160EC"/>
    <w:rPr>
      <w:b/>
      <w:bCs/>
    </w:rPr>
  </w:style>
  <w:style w:type="paragraph" w:styleId="Prrafodelista">
    <w:name w:val="List Paragraph"/>
    <w:basedOn w:val="Normal"/>
    <w:uiPriority w:val="34"/>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49417628">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1FEC1-5019-4C56-8DD0-B41942C8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2062</Words>
  <Characters>11342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13378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7</cp:revision>
  <cp:lastPrinted>2017-03-21T21:31:00Z</cp:lastPrinted>
  <dcterms:created xsi:type="dcterms:W3CDTF">2017-04-17T18:26:00Z</dcterms:created>
  <dcterms:modified xsi:type="dcterms:W3CDTF">2017-04-19T15:54:00Z</dcterms:modified>
</cp:coreProperties>
</file>