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4C47E" w14:textId="77777777" w:rsidR="00914DEB" w:rsidRDefault="00A756C1" w:rsidP="00A756C1">
      <w:pPr>
        <w:pStyle w:val="Textoindependiente"/>
        <w:spacing w:after="0"/>
        <w:jc w:val="center"/>
        <w:rPr>
          <w:rFonts w:ascii="Arial" w:hAnsi="Arial" w:cs="Arial"/>
          <w:b/>
          <w:bCs/>
          <w:sz w:val="22"/>
          <w:szCs w:val="22"/>
        </w:rPr>
      </w:pPr>
      <w:r w:rsidRPr="00A756C1">
        <w:rPr>
          <w:rFonts w:ascii="Arial" w:hAnsi="Arial" w:cs="Arial"/>
          <w:b/>
          <w:bCs/>
          <w:sz w:val="22"/>
          <w:szCs w:val="22"/>
        </w:rPr>
        <w:t>ENTRADA DESCRIPTIVA CON LA APLICACIÓN</w:t>
      </w:r>
    </w:p>
    <w:p w14:paraId="18A1D3C5" w14:textId="068615DF" w:rsidR="00A756C1" w:rsidRPr="00A756C1" w:rsidRDefault="00A756C1" w:rsidP="00A756C1">
      <w:pPr>
        <w:pStyle w:val="Textoindependiente"/>
        <w:spacing w:after="0"/>
        <w:jc w:val="center"/>
        <w:rPr>
          <w:rFonts w:ascii="Arial" w:hAnsi="Arial" w:cs="Arial"/>
          <w:b/>
          <w:bCs/>
          <w:sz w:val="22"/>
          <w:szCs w:val="22"/>
        </w:rPr>
      </w:pPr>
      <w:r w:rsidRPr="00A756C1">
        <w:rPr>
          <w:rFonts w:ascii="Arial" w:hAnsi="Arial" w:cs="Arial"/>
          <w:b/>
          <w:bCs/>
          <w:sz w:val="22"/>
          <w:szCs w:val="22"/>
        </w:rPr>
        <w:t xml:space="preserve"> DE LA NORMA INTERNACIONAL ISAD (G)</w:t>
      </w:r>
    </w:p>
    <w:p w14:paraId="606DC69F" w14:textId="7A8A89C8" w:rsidR="00A756C1" w:rsidRDefault="00A756C1" w:rsidP="00A756C1">
      <w:pPr>
        <w:pStyle w:val="Textoindependiente"/>
        <w:spacing w:after="0"/>
        <w:jc w:val="center"/>
        <w:rPr>
          <w:rFonts w:ascii="Arial" w:hAnsi="Arial" w:cs="Arial"/>
          <w:b/>
          <w:bCs/>
          <w:sz w:val="22"/>
          <w:szCs w:val="22"/>
          <w:lang w:val="es-CR"/>
        </w:rPr>
      </w:pPr>
      <w:r w:rsidRPr="00A756C1">
        <w:rPr>
          <w:rFonts w:ascii="Arial" w:hAnsi="Arial" w:cs="Arial"/>
          <w:b/>
          <w:bCs/>
          <w:sz w:val="22"/>
          <w:szCs w:val="22"/>
        </w:rPr>
        <w:t>SERIE</w:t>
      </w:r>
      <w:r w:rsidR="00914DEB">
        <w:rPr>
          <w:rFonts w:ascii="Arial" w:hAnsi="Arial" w:cs="Arial"/>
          <w:b/>
          <w:bCs/>
          <w:sz w:val="22"/>
          <w:szCs w:val="22"/>
        </w:rPr>
        <w:t>:</w:t>
      </w:r>
      <w:r w:rsidRPr="00A756C1">
        <w:rPr>
          <w:rFonts w:ascii="Arial" w:hAnsi="Arial" w:cs="Arial"/>
          <w:b/>
          <w:bCs/>
          <w:sz w:val="22"/>
          <w:szCs w:val="22"/>
        </w:rPr>
        <w:t xml:space="preserve"> </w:t>
      </w:r>
      <w:r w:rsidRPr="00A756C1">
        <w:rPr>
          <w:rFonts w:ascii="Arial" w:hAnsi="Arial" w:cs="Arial"/>
          <w:b/>
          <w:bCs/>
          <w:sz w:val="22"/>
          <w:szCs w:val="22"/>
          <w:lang w:val="es-CR"/>
        </w:rPr>
        <w:t xml:space="preserve">EXPEDIENTES DE EXPLORACIÓN Y </w:t>
      </w:r>
    </w:p>
    <w:p w14:paraId="1345F33A" w14:textId="6E69AF9B" w:rsidR="00A756C1" w:rsidRPr="00A756C1" w:rsidRDefault="00A756C1" w:rsidP="00A756C1">
      <w:pPr>
        <w:pStyle w:val="Textoindependiente"/>
        <w:spacing w:after="0"/>
        <w:jc w:val="center"/>
        <w:rPr>
          <w:rFonts w:ascii="Arial" w:hAnsi="Arial" w:cs="Arial"/>
          <w:b/>
          <w:bCs/>
          <w:sz w:val="22"/>
          <w:szCs w:val="22"/>
        </w:rPr>
      </w:pPr>
      <w:r w:rsidRPr="00A756C1">
        <w:rPr>
          <w:rFonts w:ascii="Arial" w:hAnsi="Arial" w:cs="Arial"/>
          <w:b/>
          <w:bCs/>
          <w:sz w:val="22"/>
          <w:szCs w:val="22"/>
          <w:lang w:val="es-CR"/>
        </w:rPr>
        <w:t>EXPLOTACIÓN DEL REGISTRO MINERO.</w:t>
      </w:r>
    </w:p>
    <w:p w14:paraId="7D90B68F" w14:textId="77777777" w:rsidR="00A756C1" w:rsidRPr="00A756C1" w:rsidRDefault="00A756C1" w:rsidP="00A756C1">
      <w:pPr>
        <w:ind w:left="360"/>
        <w:jc w:val="center"/>
        <w:rPr>
          <w:rFonts w:cs="Arial"/>
        </w:rPr>
      </w:pPr>
    </w:p>
    <w:p w14:paraId="33B87885" w14:textId="77777777" w:rsidR="00A756C1" w:rsidRPr="00A756C1" w:rsidRDefault="00A756C1" w:rsidP="00A756C1">
      <w:pPr>
        <w:ind w:left="360"/>
        <w:jc w:val="both"/>
        <w:rPr>
          <w:rFonts w:cs="Arial"/>
        </w:rPr>
      </w:pPr>
    </w:p>
    <w:p w14:paraId="46F467CC" w14:textId="77777777" w:rsidR="00A756C1" w:rsidRPr="00A756C1" w:rsidRDefault="00A756C1" w:rsidP="00A756C1">
      <w:pPr>
        <w:numPr>
          <w:ilvl w:val="0"/>
          <w:numId w:val="11"/>
        </w:numPr>
        <w:jc w:val="both"/>
        <w:rPr>
          <w:rFonts w:cs="Arial"/>
          <w:b/>
          <w:bCs/>
        </w:rPr>
      </w:pPr>
      <w:r w:rsidRPr="00A756C1">
        <w:rPr>
          <w:rFonts w:cs="Arial"/>
          <w:b/>
          <w:bCs/>
        </w:rPr>
        <w:t>ÁREA DE IDENTIFICACIÓN</w:t>
      </w:r>
    </w:p>
    <w:p w14:paraId="293EE303" w14:textId="77777777" w:rsidR="00A756C1" w:rsidRPr="00A756C1" w:rsidRDefault="00A756C1" w:rsidP="00A756C1">
      <w:pPr>
        <w:jc w:val="both"/>
        <w:rPr>
          <w:rFonts w:cs="Arial"/>
        </w:rPr>
      </w:pPr>
    </w:p>
    <w:p w14:paraId="6C97C520" w14:textId="77777777" w:rsidR="00A756C1" w:rsidRPr="00A756C1" w:rsidRDefault="00A756C1" w:rsidP="00A756C1">
      <w:pPr>
        <w:numPr>
          <w:ilvl w:val="1"/>
          <w:numId w:val="12"/>
        </w:numPr>
        <w:ind w:left="0" w:firstLine="0"/>
        <w:jc w:val="both"/>
        <w:rPr>
          <w:rFonts w:cs="Arial"/>
        </w:rPr>
      </w:pPr>
      <w:r w:rsidRPr="00A756C1">
        <w:rPr>
          <w:rFonts w:cs="Arial"/>
          <w:b/>
          <w:bCs/>
        </w:rPr>
        <w:t xml:space="preserve">CÓDIGO DE REFERENCIA: </w:t>
      </w:r>
      <w:r w:rsidRPr="00A756C1">
        <w:rPr>
          <w:rFonts w:cs="Arial"/>
          <w:bCs/>
        </w:rPr>
        <w:t>CR-AN-AH-</w:t>
      </w:r>
      <w:r w:rsidRPr="00A756C1">
        <w:rPr>
          <w:rFonts w:cs="Arial"/>
        </w:rPr>
        <w:t>MEIC-DEPREGMI-EXPLOMI-000001-005790</w:t>
      </w:r>
    </w:p>
    <w:p w14:paraId="15725111" w14:textId="77777777" w:rsidR="00A756C1" w:rsidRPr="00A756C1" w:rsidRDefault="00A756C1" w:rsidP="00A756C1">
      <w:pPr>
        <w:ind w:left="420"/>
        <w:jc w:val="both"/>
        <w:rPr>
          <w:rFonts w:cs="Arial"/>
        </w:rPr>
      </w:pPr>
      <w:r w:rsidRPr="00A756C1">
        <w:rPr>
          <w:rFonts w:cs="Arial"/>
        </w:rPr>
        <w:t xml:space="preserve"> </w:t>
      </w:r>
    </w:p>
    <w:p w14:paraId="5D9CB724" w14:textId="77777777" w:rsidR="00A756C1" w:rsidRPr="00A756C1" w:rsidRDefault="00A756C1" w:rsidP="00A756C1">
      <w:pPr>
        <w:jc w:val="both"/>
        <w:rPr>
          <w:rFonts w:cs="Arial"/>
          <w:lang w:val="es-ES"/>
        </w:rPr>
      </w:pPr>
      <w:r w:rsidRPr="00A756C1">
        <w:rPr>
          <w:rFonts w:cs="Arial"/>
          <w:b/>
          <w:bCs/>
        </w:rPr>
        <w:t xml:space="preserve">1.2   TÍTULO: </w:t>
      </w:r>
      <w:r w:rsidRPr="00A756C1">
        <w:rPr>
          <w:rFonts w:cs="Arial"/>
          <w:bCs/>
        </w:rPr>
        <w:t>Expedientes de Exploración y Explotación del Registro Minero.</w:t>
      </w:r>
      <w:r w:rsidRPr="00A756C1">
        <w:rPr>
          <w:rFonts w:cs="Arial"/>
        </w:rPr>
        <w:t xml:space="preserve"> </w:t>
      </w:r>
    </w:p>
    <w:p w14:paraId="602AC23C" w14:textId="77777777" w:rsidR="00A756C1" w:rsidRPr="00A756C1" w:rsidRDefault="00A756C1" w:rsidP="00A756C1">
      <w:pPr>
        <w:jc w:val="both"/>
        <w:rPr>
          <w:rFonts w:cs="Arial"/>
        </w:rPr>
      </w:pPr>
    </w:p>
    <w:p w14:paraId="636A4FB0" w14:textId="77777777" w:rsidR="00A756C1" w:rsidRPr="00A756C1" w:rsidRDefault="00A756C1" w:rsidP="00A756C1">
      <w:pPr>
        <w:jc w:val="both"/>
        <w:rPr>
          <w:rFonts w:cs="Arial"/>
          <w:b/>
          <w:bCs/>
        </w:rPr>
      </w:pPr>
      <w:r w:rsidRPr="00A756C1">
        <w:rPr>
          <w:rFonts w:cs="Arial"/>
          <w:b/>
          <w:bCs/>
        </w:rPr>
        <w:t xml:space="preserve">1.3   FECHAS (S): </w:t>
      </w:r>
      <w:r w:rsidRPr="00A756C1">
        <w:rPr>
          <w:rFonts w:cs="Arial"/>
          <w:bCs/>
        </w:rPr>
        <w:t>1953  1981</w:t>
      </w:r>
    </w:p>
    <w:p w14:paraId="007FEF41" w14:textId="77777777" w:rsidR="00A756C1" w:rsidRPr="00A756C1" w:rsidRDefault="00A756C1" w:rsidP="00A756C1">
      <w:pPr>
        <w:jc w:val="both"/>
        <w:rPr>
          <w:rFonts w:cs="Arial"/>
        </w:rPr>
      </w:pPr>
    </w:p>
    <w:p w14:paraId="470A3BB2" w14:textId="269D63B6" w:rsidR="00A756C1" w:rsidRPr="00A756C1" w:rsidRDefault="00A756C1" w:rsidP="00A756C1">
      <w:pPr>
        <w:jc w:val="both"/>
        <w:rPr>
          <w:rFonts w:cs="Arial"/>
          <w:b/>
          <w:bCs/>
        </w:rPr>
      </w:pPr>
      <w:r w:rsidRPr="00A756C1">
        <w:rPr>
          <w:rFonts w:cs="Arial"/>
          <w:b/>
          <w:bCs/>
        </w:rPr>
        <w:t>1.4</w:t>
      </w:r>
      <w:r w:rsidR="001C140B">
        <w:rPr>
          <w:rFonts w:cs="Arial"/>
          <w:b/>
          <w:bCs/>
        </w:rPr>
        <w:t xml:space="preserve"> </w:t>
      </w:r>
      <w:r w:rsidRPr="00A756C1">
        <w:rPr>
          <w:rFonts w:cs="Arial"/>
          <w:b/>
          <w:bCs/>
        </w:rPr>
        <w:t xml:space="preserve">NIVEL DE DESCRIPCIÓN: </w:t>
      </w:r>
      <w:r w:rsidRPr="00A756C1">
        <w:rPr>
          <w:rFonts w:cs="Arial"/>
          <w:bCs/>
        </w:rPr>
        <w:t>Serie.</w:t>
      </w:r>
    </w:p>
    <w:p w14:paraId="6EA10683" w14:textId="77777777" w:rsidR="00A756C1" w:rsidRPr="00A756C1" w:rsidRDefault="00A756C1" w:rsidP="00A756C1">
      <w:pPr>
        <w:jc w:val="both"/>
        <w:rPr>
          <w:rFonts w:cs="Arial"/>
          <w:b/>
          <w:bCs/>
        </w:rPr>
      </w:pPr>
    </w:p>
    <w:p w14:paraId="3283B5A5" w14:textId="77777777" w:rsidR="00A756C1" w:rsidRPr="00A756C1" w:rsidRDefault="00A756C1" w:rsidP="00A756C1">
      <w:pPr>
        <w:numPr>
          <w:ilvl w:val="1"/>
          <w:numId w:val="12"/>
        </w:numPr>
        <w:ind w:left="0" w:firstLine="0"/>
        <w:jc w:val="both"/>
        <w:rPr>
          <w:rFonts w:cs="Arial"/>
          <w:bCs/>
        </w:rPr>
      </w:pPr>
      <w:r w:rsidRPr="00A756C1">
        <w:rPr>
          <w:rFonts w:cs="Arial"/>
          <w:b/>
          <w:lang w:eastAsia="es-CR"/>
        </w:rPr>
        <w:t>VOLUMEN Y SOPORTE DE LA UNIDAD DE DESCRIPCIÓN (CANTIDAD, TAMAÑO O DIMENSIONES)</w:t>
      </w:r>
      <w:r w:rsidRPr="00A756C1">
        <w:rPr>
          <w:rFonts w:cs="Arial"/>
          <w:lang w:eastAsia="es-CR"/>
        </w:rPr>
        <w:t xml:space="preserve">: </w:t>
      </w:r>
      <w:r w:rsidRPr="00A756C1">
        <w:rPr>
          <w:rFonts w:cs="Arial"/>
          <w:bCs/>
        </w:rPr>
        <w:t>31.92 metros (343 cajas y 11 unidades empastadas).</w:t>
      </w:r>
    </w:p>
    <w:p w14:paraId="01DC3DB5" w14:textId="77777777" w:rsidR="00A756C1" w:rsidRPr="00A756C1" w:rsidRDefault="00A756C1" w:rsidP="00A756C1">
      <w:pPr>
        <w:jc w:val="both"/>
        <w:rPr>
          <w:rFonts w:cs="Arial"/>
        </w:rPr>
      </w:pPr>
    </w:p>
    <w:p w14:paraId="7937F628" w14:textId="77777777" w:rsidR="00A756C1" w:rsidRPr="00A756C1" w:rsidRDefault="00A756C1" w:rsidP="00A756C1">
      <w:pPr>
        <w:jc w:val="both"/>
        <w:rPr>
          <w:rFonts w:cs="Arial"/>
        </w:rPr>
      </w:pPr>
    </w:p>
    <w:p w14:paraId="72EB5F95" w14:textId="77777777" w:rsidR="00A756C1" w:rsidRPr="00A756C1" w:rsidRDefault="00A756C1" w:rsidP="00A756C1">
      <w:pPr>
        <w:numPr>
          <w:ilvl w:val="0"/>
          <w:numId w:val="12"/>
        </w:numPr>
        <w:jc w:val="both"/>
        <w:rPr>
          <w:rFonts w:cs="Arial"/>
          <w:b/>
          <w:bCs/>
        </w:rPr>
      </w:pPr>
      <w:r w:rsidRPr="00A756C1">
        <w:rPr>
          <w:rFonts w:cs="Arial"/>
          <w:b/>
          <w:bCs/>
        </w:rPr>
        <w:t>ÁREA DE CONTEXTO</w:t>
      </w:r>
    </w:p>
    <w:p w14:paraId="4ABEBC0F" w14:textId="77777777" w:rsidR="00A756C1" w:rsidRPr="00A756C1" w:rsidRDefault="00A756C1" w:rsidP="00A756C1">
      <w:pPr>
        <w:jc w:val="both"/>
        <w:rPr>
          <w:rFonts w:cs="Arial"/>
        </w:rPr>
      </w:pPr>
    </w:p>
    <w:p w14:paraId="124158B4" w14:textId="77777777" w:rsidR="00A756C1" w:rsidRPr="00A756C1" w:rsidRDefault="00A756C1" w:rsidP="00A756C1">
      <w:pPr>
        <w:numPr>
          <w:ilvl w:val="1"/>
          <w:numId w:val="13"/>
        </w:numPr>
        <w:ind w:left="0" w:firstLine="0"/>
        <w:jc w:val="both"/>
        <w:rPr>
          <w:rFonts w:cs="Arial"/>
          <w:bCs/>
        </w:rPr>
      </w:pPr>
      <w:r w:rsidRPr="00A756C1">
        <w:rPr>
          <w:rFonts w:cs="Arial"/>
          <w:b/>
          <w:bCs/>
        </w:rPr>
        <w:t>NOMBRE DEL O DE LOS PRODUCTOR (ES) / COLECCIONISTA(S):</w:t>
      </w:r>
      <w:r w:rsidRPr="00A756C1">
        <w:rPr>
          <w:rFonts w:cs="Arial"/>
          <w:bCs/>
        </w:rPr>
        <w:t xml:space="preserve"> </w:t>
      </w:r>
      <w:r w:rsidRPr="00A756C1">
        <w:rPr>
          <w:rFonts w:cs="Arial"/>
        </w:rPr>
        <w:t>Expedientes de Exploración y Explotación del Registro Minero, Dirección de Geología y Minas e Hidrocarburos.</w:t>
      </w:r>
    </w:p>
    <w:p w14:paraId="6FF4AF47" w14:textId="77777777" w:rsidR="00A756C1" w:rsidRPr="00A756C1" w:rsidRDefault="00A756C1" w:rsidP="00A756C1">
      <w:pPr>
        <w:jc w:val="both"/>
        <w:rPr>
          <w:rFonts w:cs="Arial"/>
        </w:rPr>
      </w:pPr>
    </w:p>
    <w:p w14:paraId="18F53859" w14:textId="77777777" w:rsidR="00A756C1" w:rsidRPr="00A756C1" w:rsidRDefault="00A756C1" w:rsidP="00A756C1">
      <w:pPr>
        <w:numPr>
          <w:ilvl w:val="1"/>
          <w:numId w:val="13"/>
        </w:numPr>
        <w:ind w:left="0" w:firstLine="0"/>
        <w:jc w:val="both"/>
        <w:rPr>
          <w:rFonts w:cs="Arial"/>
        </w:rPr>
      </w:pPr>
      <w:r w:rsidRPr="00A756C1">
        <w:rPr>
          <w:rFonts w:cs="Arial"/>
          <w:b/>
          <w:bCs/>
        </w:rPr>
        <w:t xml:space="preserve">HISTORIA INSTITUCIONAL/RESEÑA BIOGRÁFICA: </w:t>
      </w:r>
      <w:r w:rsidRPr="00A756C1">
        <w:rPr>
          <w:rFonts w:cs="Arial"/>
        </w:rPr>
        <w:t xml:space="preserve">El estudio de la geología en Costa Rica se remonta a mediados del siglo XX, cuando en 1943 el Doctor César </w:t>
      </w:r>
      <w:proofErr w:type="spellStart"/>
      <w:r w:rsidRPr="00A756C1">
        <w:rPr>
          <w:rFonts w:cs="Arial"/>
        </w:rPr>
        <w:t>Dondoli</w:t>
      </w:r>
      <w:proofErr w:type="spellEnd"/>
      <w:r w:rsidRPr="00A756C1">
        <w:rPr>
          <w:rFonts w:cs="Arial"/>
        </w:rPr>
        <w:t xml:space="preserve"> </w:t>
      </w:r>
      <w:proofErr w:type="spellStart"/>
      <w:r w:rsidRPr="00A756C1">
        <w:rPr>
          <w:rFonts w:cs="Arial"/>
        </w:rPr>
        <w:t>Burgazzi</w:t>
      </w:r>
      <w:proofErr w:type="spellEnd"/>
      <w:r w:rsidRPr="00A756C1">
        <w:rPr>
          <w:rFonts w:cs="Arial"/>
        </w:rPr>
        <w:t>, logra junto a sus colaboradores la creación de la Sección de Geología del Centro Nacional de Agricultura. En 1953 mediante Ley 1551 se promulga el primer código de minería mediante el cual se establece el Departamento de Geología adscrito al Ministerio de Agricultura y Ganadería. En 1974 pasa a ser una Dirección del Ministerio de Economía, Industria y Comercio y en 1980 se traslada al Programa 213 de Investigaciones Geológicas de la Presidencia de la República. En 1982 mediante Ley número 6812 de 21 de noviembre de 1982 se traslada como Dirección de Geología, Minas e Hidrocarburos en el recién creado Ministerio de Industria, Energía y Minas. A partir de 1988 pasa a formar parte del Ministerio de Recursos Naturales, Energía y Minas como programa 881 el cual consolida su base jurídica con la Ley Número 7152 de 21 de junio de 1990. Con esta misma Ley la Dirección de Geología Minas e Hidrocarburos queda como parte integral del Ministerio de Recursos Naturales, Energía y Minas.</w:t>
      </w:r>
    </w:p>
    <w:p w14:paraId="127F640F" w14:textId="77777777" w:rsidR="00A756C1" w:rsidRPr="00A756C1" w:rsidRDefault="00A756C1" w:rsidP="00A756C1">
      <w:pPr>
        <w:jc w:val="both"/>
        <w:rPr>
          <w:rFonts w:cs="Arial"/>
        </w:rPr>
      </w:pPr>
    </w:p>
    <w:p w14:paraId="3C2E4FFE" w14:textId="77777777" w:rsidR="00A756C1" w:rsidRPr="00A756C1" w:rsidRDefault="00A756C1" w:rsidP="00A756C1">
      <w:pPr>
        <w:jc w:val="both"/>
        <w:rPr>
          <w:rFonts w:cs="Arial"/>
          <w:b/>
          <w:lang w:val="es-ES" w:eastAsia="es-CR"/>
        </w:rPr>
      </w:pPr>
      <w:r w:rsidRPr="00A756C1">
        <w:rPr>
          <w:rFonts w:cs="Arial"/>
        </w:rPr>
        <w:t xml:space="preserve">En cuanto al Registro Minero, se crea como Dependencia de la </w:t>
      </w:r>
      <w:r w:rsidRPr="00A756C1">
        <w:rPr>
          <w:rFonts w:cs="Arial"/>
          <w:lang w:eastAsia="es-CR"/>
        </w:rPr>
        <w:t xml:space="preserve">Dirección de Geología, Minas e Hidrocarburos mediante el artículo 108 del </w:t>
      </w:r>
      <w:r w:rsidRPr="00A756C1">
        <w:rPr>
          <w:rFonts w:cs="Arial"/>
        </w:rPr>
        <w:t xml:space="preserve">Código de minería (Ley 6797 de 23 de agosto de 1982) </w:t>
      </w:r>
      <w:r w:rsidRPr="00A756C1">
        <w:rPr>
          <w:rFonts w:cs="Arial"/>
          <w:lang w:eastAsia="es-CR"/>
        </w:rPr>
        <w:t xml:space="preserve">encargándosele la tramitación de </w:t>
      </w:r>
      <w:r w:rsidRPr="00A756C1">
        <w:rPr>
          <w:rFonts w:cs="Arial"/>
        </w:rPr>
        <w:t xml:space="preserve">solicitudes de permisos y concesiones y llevar un registro público denominado Registro Minero. Este registro inscribirá los permisos, concesiones, reducciones, prórrogas, renuncias y otros actos referentes a la actividad minera, llevando los siguientes libros: </w:t>
      </w:r>
      <w:r w:rsidRPr="00A756C1">
        <w:rPr>
          <w:rFonts w:cs="Arial"/>
          <w:lang w:eastAsia="es-CR"/>
        </w:rPr>
        <w:t>Registro de permisos de exploración, Registro de concesiones de explotación y Registro de yacimientos de tipo placer o lavaderos.</w:t>
      </w:r>
    </w:p>
    <w:p w14:paraId="57BF941F" w14:textId="77777777" w:rsidR="00A756C1" w:rsidRPr="00A756C1" w:rsidRDefault="00A756C1" w:rsidP="00A756C1">
      <w:pPr>
        <w:jc w:val="both"/>
        <w:rPr>
          <w:rFonts w:cs="Arial"/>
        </w:rPr>
      </w:pPr>
    </w:p>
    <w:p w14:paraId="6BA242B9" w14:textId="77777777" w:rsidR="00A756C1" w:rsidRPr="00A756C1" w:rsidRDefault="00A756C1" w:rsidP="00A756C1">
      <w:pPr>
        <w:numPr>
          <w:ilvl w:val="1"/>
          <w:numId w:val="13"/>
        </w:numPr>
        <w:ind w:left="0" w:firstLine="0"/>
        <w:jc w:val="both"/>
        <w:rPr>
          <w:rFonts w:cs="Arial"/>
        </w:rPr>
      </w:pPr>
      <w:r w:rsidRPr="00A756C1">
        <w:rPr>
          <w:rFonts w:cs="Arial"/>
          <w:b/>
          <w:bCs/>
        </w:rPr>
        <w:lastRenderedPageBreak/>
        <w:t>HISTORIA ARCHIVÍSTICA</w:t>
      </w:r>
      <w:r w:rsidRPr="00A756C1">
        <w:rPr>
          <w:rFonts w:cs="Arial"/>
          <w:bCs/>
        </w:rPr>
        <w:t xml:space="preserve">: </w:t>
      </w:r>
      <w:r w:rsidRPr="00A756C1">
        <w:rPr>
          <w:rFonts w:cs="Arial"/>
        </w:rPr>
        <w:t>L</w:t>
      </w:r>
      <w:r w:rsidRPr="00A756C1">
        <w:rPr>
          <w:rFonts w:cs="Arial"/>
          <w:bCs/>
        </w:rPr>
        <w:t>os documentos fueron producidos a partir de la aplicación del Código de Minería. Su custodio fue el Registro Minero.</w:t>
      </w:r>
    </w:p>
    <w:p w14:paraId="4AE6AEC3" w14:textId="77777777" w:rsidR="00A756C1" w:rsidRPr="00A756C1" w:rsidRDefault="00A756C1" w:rsidP="00A756C1">
      <w:pPr>
        <w:jc w:val="both"/>
        <w:rPr>
          <w:rFonts w:cs="Arial"/>
          <w:highlight w:val="cyan"/>
        </w:rPr>
      </w:pPr>
    </w:p>
    <w:p w14:paraId="0ECB5CEA" w14:textId="77777777" w:rsidR="00A756C1" w:rsidRPr="00A756C1" w:rsidRDefault="00A756C1" w:rsidP="00A756C1">
      <w:pPr>
        <w:jc w:val="both"/>
        <w:rPr>
          <w:rFonts w:cs="Arial"/>
          <w:bCs/>
        </w:rPr>
      </w:pPr>
      <w:r w:rsidRPr="00A756C1">
        <w:rPr>
          <w:rFonts w:cs="Arial"/>
          <w:b/>
        </w:rPr>
        <w:t>2.4</w:t>
      </w:r>
      <w:r w:rsidRPr="00A756C1">
        <w:rPr>
          <w:rFonts w:cs="Arial"/>
        </w:rPr>
        <w:t xml:space="preserve"> </w:t>
      </w:r>
      <w:r w:rsidRPr="00A756C1">
        <w:rPr>
          <w:rFonts w:cs="Arial"/>
          <w:b/>
          <w:bCs/>
        </w:rPr>
        <w:t>FORMA DE INGRESO</w:t>
      </w:r>
      <w:r w:rsidRPr="00A756C1">
        <w:rPr>
          <w:rFonts w:cs="Arial"/>
          <w:bCs/>
        </w:rPr>
        <w:t>: Transferencia. Los expedientes ingresaron mediante transferencias realizadas por el Registro Minero ante la anulación, renuncia, rechazo, denegación o caducidad de los permisos que constan en los expedientes de exploración o explotación minera. Se registran las siguientes: el 1 de abril de 1982 y el 26 de marzo de 1984.</w:t>
      </w:r>
    </w:p>
    <w:p w14:paraId="2AB829F7" w14:textId="77777777" w:rsidR="00A756C1" w:rsidRPr="00A756C1" w:rsidRDefault="00A756C1" w:rsidP="00A756C1">
      <w:pPr>
        <w:jc w:val="both"/>
        <w:rPr>
          <w:rFonts w:cs="Arial"/>
        </w:rPr>
      </w:pPr>
    </w:p>
    <w:p w14:paraId="762EC1F8" w14:textId="77777777" w:rsidR="00A756C1" w:rsidRPr="00A756C1" w:rsidRDefault="00A756C1" w:rsidP="00A756C1">
      <w:pPr>
        <w:ind w:left="360"/>
        <w:jc w:val="both"/>
        <w:rPr>
          <w:rFonts w:cs="Arial"/>
        </w:rPr>
      </w:pPr>
    </w:p>
    <w:p w14:paraId="7AD42DBE" w14:textId="77777777" w:rsidR="00A756C1" w:rsidRPr="00A756C1" w:rsidRDefault="00A756C1" w:rsidP="00A756C1">
      <w:pPr>
        <w:numPr>
          <w:ilvl w:val="0"/>
          <w:numId w:val="13"/>
        </w:numPr>
        <w:jc w:val="both"/>
        <w:rPr>
          <w:rFonts w:cs="Arial"/>
        </w:rPr>
      </w:pPr>
      <w:r w:rsidRPr="00A756C1">
        <w:rPr>
          <w:rFonts w:cs="Arial"/>
          <w:b/>
          <w:bCs/>
        </w:rPr>
        <w:t xml:space="preserve">ÁREA DE CONTENIDO Y ESTRUCTURA. </w:t>
      </w:r>
    </w:p>
    <w:p w14:paraId="38EBCC88" w14:textId="77777777" w:rsidR="00A756C1" w:rsidRPr="00A756C1" w:rsidRDefault="00A756C1" w:rsidP="00A756C1">
      <w:pPr>
        <w:ind w:left="360"/>
        <w:jc w:val="both"/>
        <w:rPr>
          <w:rFonts w:cs="Arial"/>
        </w:rPr>
      </w:pPr>
    </w:p>
    <w:p w14:paraId="491256A5" w14:textId="77777777" w:rsidR="00A756C1" w:rsidRPr="00A756C1" w:rsidRDefault="00A756C1" w:rsidP="00A756C1">
      <w:pPr>
        <w:numPr>
          <w:ilvl w:val="1"/>
          <w:numId w:val="13"/>
        </w:numPr>
        <w:ind w:left="0" w:firstLine="0"/>
        <w:jc w:val="both"/>
        <w:rPr>
          <w:rFonts w:cs="Arial"/>
        </w:rPr>
      </w:pPr>
      <w:r w:rsidRPr="00A756C1">
        <w:rPr>
          <w:rFonts w:cs="Arial"/>
          <w:b/>
          <w:bCs/>
        </w:rPr>
        <w:t xml:space="preserve">ALCANCE Y CONTENIDO: </w:t>
      </w:r>
      <w:r w:rsidRPr="00A756C1">
        <w:rPr>
          <w:rFonts w:cs="Arial"/>
        </w:rPr>
        <w:t>Son expedientes de permisos de exploración y explotación minera que indican el nombre del denunciante, la ubicación de la propiedad terreno que se denuncia, así como el trámite administrativo y técnico que hace el denunciante para obtener los permisos de usufructo de los terrenos. El expediente incluye también cartas, edictos, recortes del periódico La Gaceta, enteros de Gobierno, resoluciones de fondo de la Dirección de Geología, acuerdos del Ministerio de Economía, Industria y Comercio, croquis de los terrenos y sus hojas de localización.</w:t>
      </w:r>
    </w:p>
    <w:p w14:paraId="5F92DE97" w14:textId="77777777" w:rsidR="00A756C1" w:rsidRPr="00A756C1" w:rsidRDefault="00A756C1" w:rsidP="00A756C1">
      <w:pPr>
        <w:jc w:val="both"/>
        <w:rPr>
          <w:rFonts w:cs="Arial"/>
          <w:b/>
          <w:bCs/>
        </w:rPr>
      </w:pPr>
    </w:p>
    <w:p w14:paraId="20724137" w14:textId="77777777" w:rsidR="00A756C1" w:rsidRPr="00A756C1" w:rsidRDefault="00A756C1" w:rsidP="00A756C1">
      <w:pPr>
        <w:jc w:val="both"/>
        <w:rPr>
          <w:rFonts w:cs="Arial"/>
          <w:lang w:val="es-ES_tradnl"/>
        </w:rPr>
      </w:pPr>
      <w:r w:rsidRPr="00A756C1">
        <w:rPr>
          <w:rFonts w:cs="Arial"/>
          <w:b/>
          <w:bCs/>
        </w:rPr>
        <w:t xml:space="preserve">3.2 VALORACIÓN, SELECCIÓN Y ELIMINACIÓN: </w:t>
      </w:r>
      <w:r w:rsidRPr="00A756C1">
        <w:rPr>
          <w:rFonts w:cs="Arial"/>
          <w:lang w:val="es-ES_tradnl"/>
        </w:rPr>
        <w:t>Valor científico cultural y conservación permanente mediante Ley 7202 del Sistema Nacional de Archivos del 24 de octubre de 1990.</w:t>
      </w:r>
    </w:p>
    <w:p w14:paraId="5A3CA635" w14:textId="77777777" w:rsidR="00A756C1" w:rsidRPr="00A756C1" w:rsidRDefault="00A756C1" w:rsidP="00A756C1">
      <w:pPr>
        <w:jc w:val="both"/>
        <w:rPr>
          <w:rFonts w:cs="Arial"/>
          <w:bCs/>
          <w:lang w:val="es-ES_tradnl"/>
        </w:rPr>
      </w:pPr>
    </w:p>
    <w:p w14:paraId="63C1272D" w14:textId="77777777" w:rsidR="00A756C1" w:rsidRPr="00A756C1" w:rsidRDefault="00A756C1" w:rsidP="00A756C1">
      <w:pPr>
        <w:numPr>
          <w:ilvl w:val="1"/>
          <w:numId w:val="14"/>
        </w:numPr>
        <w:jc w:val="both"/>
        <w:rPr>
          <w:rFonts w:cs="Arial"/>
          <w:b/>
          <w:bCs/>
        </w:rPr>
      </w:pPr>
      <w:r w:rsidRPr="00A756C1">
        <w:rPr>
          <w:rFonts w:cs="Arial"/>
          <w:b/>
          <w:bCs/>
        </w:rPr>
        <w:t xml:space="preserve">NUEVOS INGRESOS: </w:t>
      </w:r>
      <w:r w:rsidRPr="00A756C1">
        <w:rPr>
          <w:rFonts w:cs="Arial"/>
        </w:rPr>
        <w:t>Abierto</w:t>
      </w:r>
    </w:p>
    <w:p w14:paraId="0408E715" w14:textId="77777777" w:rsidR="00A756C1" w:rsidRPr="00A756C1" w:rsidRDefault="00A756C1" w:rsidP="00A756C1">
      <w:pPr>
        <w:ind w:left="720"/>
        <w:jc w:val="both"/>
        <w:rPr>
          <w:rFonts w:cs="Arial"/>
          <w:b/>
          <w:bCs/>
        </w:rPr>
      </w:pPr>
    </w:p>
    <w:p w14:paraId="6495BC29" w14:textId="77777777" w:rsidR="00A756C1" w:rsidRPr="00A756C1" w:rsidRDefault="00A756C1" w:rsidP="00A756C1">
      <w:pPr>
        <w:numPr>
          <w:ilvl w:val="1"/>
          <w:numId w:val="14"/>
        </w:numPr>
        <w:ind w:left="0" w:firstLine="0"/>
        <w:jc w:val="both"/>
        <w:rPr>
          <w:rFonts w:cs="Arial"/>
          <w:bCs/>
        </w:rPr>
      </w:pPr>
      <w:r w:rsidRPr="00A756C1">
        <w:rPr>
          <w:rFonts w:cs="Arial"/>
          <w:b/>
          <w:bCs/>
        </w:rPr>
        <w:t xml:space="preserve">ORGANIZACIÓN: </w:t>
      </w:r>
      <w:r w:rsidRPr="00A756C1">
        <w:rPr>
          <w:rFonts w:cs="Arial"/>
          <w:bCs/>
        </w:rPr>
        <w:t>Los documentos presentan la siguiente organización dentro del cuadro de clasificación del Archivo Histórico:</w:t>
      </w:r>
    </w:p>
    <w:p w14:paraId="5F605F30" w14:textId="77777777" w:rsidR="00A756C1" w:rsidRPr="00A756C1" w:rsidRDefault="00A756C1" w:rsidP="00A756C1">
      <w:pPr>
        <w:jc w:val="both"/>
        <w:rPr>
          <w:rFonts w:cs="Arial"/>
          <w:b/>
          <w:bCs/>
        </w:rPr>
      </w:pPr>
    </w:p>
    <w:tbl>
      <w:tblPr>
        <w:tblStyle w:val="Tablaconcuadrcula"/>
        <w:tblW w:w="9073" w:type="dxa"/>
        <w:jc w:val="center"/>
        <w:tblLook w:val="01E0" w:firstRow="1" w:lastRow="1" w:firstColumn="1" w:lastColumn="1" w:noHBand="0" w:noVBand="0"/>
        <w:tblCaption w:val="Organización"/>
        <w:tblDescription w:val="Se muestra la organización del fondo en el Cuadro de Clasificación del Archivo Histórico"/>
      </w:tblPr>
      <w:tblGrid>
        <w:gridCol w:w="3261"/>
        <w:gridCol w:w="2410"/>
        <w:gridCol w:w="3402"/>
      </w:tblGrid>
      <w:tr w:rsidR="00A756C1" w:rsidRPr="00A756C1" w14:paraId="2308A1EC" w14:textId="77777777" w:rsidTr="00914DEB">
        <w:trPr>
          <w:tblHeader/>
          <w:jc w:val="center"/>
        </w:trPr>
        <w:tc>
          <w:tcPr>
            <w:tcW w:w="3261" w:type="dxa"/>
            <w:hideMark/>
          </w:tcPr>
          <w:p w14:paraId="0F309CAB" w14:textId="77777777" w:rsidR="00A756C1" w:rsidRPr="00A756C1" w:rsidRDefault="00A756C1" w:rsidP="00914DEB">
            <w:pPr>
              <w:jc w:val="center"/>
              <w:rPr>
                <w:rFonts w:cs="Arial"/>
                <w:b/>
                <w:lang w:val="es-ES"/>
              </w:rPr>
            </w:pPr>
            <w:r w:rsidRPr="00A756C1">
              <w:rPr>
                <w:rFonts w:cs="Arial"/>
                <w:b/>
              </w:rPr>
              <w:t>FONDO NIVEL I</w:t>
            </w:r>
          </w:p>
        </w:tc>
        <w:tc>
          <w:tcPr>
            <w:tcW w:w="2410" w:type="dxa"/>
            <w:hideMark/>
          </w:tcPr>
          <w:p w14:paraId="56F6F2A2" w14:textId="77777777" w:rsidR="00A756C1" w:rsidRPr="00A756C1" w:rsidRDefault="00A756C1" w:rsidP="00914DEB">
            <w:pPr>
              <w:jc w:val="center"/>
              <w:rPr>
                <w:rFonts w:cs="Arial"/>
                <w:b/>
                <w:lang w:val="es-ES"/>
              </w:rPr>
            </w:pPr>
            <w:r w:rsidRPr="00A756C1">
              <w:rPr>
                <w:rFonts w:cs="Arial"/>
                <w:b/>
              </w:rPr>
              <w:t>SUBFONDO I</w:t>
            </w:r>
          </w:p>
        </w:tc>
        <w:tc>
          <w:tcPr>
            <w:tcW w:w="3402" w:type="dxa"/>
            <w:hideMark/>
          </w:tcPr>
          <w:p w14:paraId="5AC718A0" w14:textId="77777777" w:rsidR="00A756C1" w:rsidRPr="00A756C1" w:rsidRDefault="00A756C1" w:rsidP="00914DEB">
            <w:pPr>
              <w:jc w:val="center"/>
              <w:rPr>
                <w:rFonts w:cs="Arial"/>
                <w:b/>
                <w:lang w:val="es-ES"/>
              </w:rPr>
            </w:pPr>
            <w:r w:rsidRPr="00A756C1">
              <w:rPr>
                <w:rFonts w:cs="Arial"/>
                <w:b/>
              </w:rPr>
              <w:t>SERIE</w:t>
            </w:r>
          </w:p>
        </w:tc>
      </w:tr>
      <w:tr w:rsidR="00A756C1" w:rsidRPr="00A756C1" w14:paraId="63157377" w14:textId="77777777" w:rsidTr="00914DEB">
        <w:trPr>
          <w:trHeight w:val="548"/>
          <w:jc w:val="center"/>
        </w:trPr>
        <w:tc>
          <w:tcPr>
            <w:tcW w:w="3261" w:type="dxa"/>
            <w:hideMark/>
          </w:tcPr>
          <w:p w14:paraId="1D388E83" w14:textId="77777777" w:rsidR="00A756C1" w:rsidRPr="00A756C1" w:rsidRDefault="00A756C1" w:rsidP="00A756C1">
            <w:pPr>
              <w:jc w:val="both"/>
              <w:rPr>
                <w:rFonts w:cs="Arial"/>
                <w:lang w:val="es-ES"/>
              </w:rPr>
            </w:pPr>
            <w:r w:rsidRPr="00A756C1">
              <w:rPr>
                <w:rFonts w:cs="Arial"/>
              </w:rPr>
              <w:t>Ministerio de Economía Industria y Comercio (MEIC)</w:t>
            </w:r>
          </w:p>
        </w:tc>
        <w:tc>
          <w:tcPr>
            <w:tcW w:w="2410" w:type="dxa"/>
          </w:tcPr>
          <w:p w14:paraId="1DBFFEC6" w14:textId="77777777" w:rsidR="00A756C1" w:rsidRPr="00A756C1" w:rsidRDefault="00A756C1" w:rsidP="00A756C1">
            <w:pPr>
              <w:jc w:val="both"/>
              <w:rPr>
                <w:rFonts w:cs="Arial"/>
                <w:lang w:val="es-ES"/>
              </w:rPr>
            </w:pPr>
          </w:p>
        </w:tc>
        <w:tc>
          <w:tcPr>
            <w:tcW w:w="3402" w:type="dxa"/>
            <w:hideMark/>
          </w:tcPr>
          <w:p w14:paraId="699DBAD5" w14:textId="77777777" w:rsidR="00A756C1" w:rsidRPr="00A756C1" w:rsidRDefault="00A756C1" w:rsidP="00A756C1">
            <w:pPr>
              <w:jc w:val="both"/>
              <w:rPr>
                <w:rFonts w:cs="Arial"/>
                <w:lang w:val="es-ES"/>
              </w:rPr>
            </w:pPr>
            <w:r w:rsidRPr="00A756C1">
              <w:rPr>
                <w:rFonts w:cs="Arial"/>
              </w:rPr>
              <w:t>-Correspondencia* (COR)</w:t>
            </w:r>
          </w:p>
        </w:tc>
      </w:tr>
      <w:tr w:rsidR="00A756C1" w:rsidRPr="00A756C1" w14:paraId="20B5359B" w14:textId="77777777" w:rsidTr="00914DEB">
        <w:trPr>
          <w:jc w:val="center"/>
        </w:trPr>
        <w:tc>
          <w:tcPr>
            <w:tcW w:w="3261" w:type="dxa"/>
          </w:tcPr>
          <w:p w14:paraId="48FB8042" w14:textId="77777777" w:rsidR="00A756C1" w:rsidRPr="00A756C1" w:rsidRDefault="00A756C1" w:rsidP="00A756C1">
            <w:pPr>
              <w:jc w:val="both"/>
              <w:rPr>
                <w:rFonts w:cs="Arial"/>
                <w:lang w:val="es-ES"/>
              </w:rPr>
            </w:pPr>
          </w:p>
        </w:tc>
        <w:tc>
          <w:tcPr>
            <w:tcW w:w="2410" w:type="dxa"/>
            <w:hideMark/>
          </w:tcPr>
          <w:p w14:paraId="7374509F" w14:textId="77777777" w:rsidR="00A756C1" w:rsidRPr="00A756C1" w:rsidRDefault="00A756C1" w:rsidP="00A756C1">
            <w:pPr>
              <w:jc w:val="both"/>
              <w:rPr>
                <w:rFonts w:cs="Arial"/>
                <w:lang w:val="es-ES"/>
              </w:rPr>
            </w:pPr>
            <w:r w:rsidRPr="00A756C1">
              <w:rPr>
                <w:rFonts w:cs="Arial"/>
              </w:rPr>
              <w:t>Departamento Registro Minero (DEPREGMI)</w:t>
            </w:r>
          </w:p>
        </w:tc>
        <w:tc>
          <w:tcPr>
            <w:tcW w:w="3402" w:type="dxa"/>
            <w:hideMark/>
          </w:tcPr>
          <w:p w14:paraId="5045CC23" w14:textId="77777777" w:rsidR="00A756C1" w:rsidRPr="00A756C1" w:rsidRDefault="00A756C1" w:rsidP="00A756C1">
            <w:pPr>
              <w:jc w:val="both"/>
              <w:rPr>
                <w:rFonts w:cs="Arial"/>
                <w:lang w:val="es-ES"/>
              </w:rPr>
            </w:pPr>
            <w:r w:rsidRPr="00A756C1">
              <w:rPr>
                <w:rFonts w:cs="Arial"/>
              </w:rPr>
              <w:t>-Expedientes de exploración y explotación minera (EXPLOMI)</w:t>
            </w:r>
          </w:p>
        </w:tc>
      </w:tr>
    </w:tbl>
    <w:p w14:paraId="62D63B72" w14:textId="77777777" w:rsidR="00A756C1" w:rsidRPr="00A756C1" w:rsidRDefault="00A756C1" w:rsidP="00A756C1">
      <w:pPr>
        <w:pStyle w:val="Default"/>
        <w:jc w:val="both"/>
        <w:rPr>
          <w:rFonts w:ascii="Arial" w:hAnsi="Arial" w:cs="Arial"/>
          <w:color w:val="auto"/>
          <w:sz w:val="22"/>
          <w:szCs w:val="22"/>
          <w:lang w:val="es-ES" w:eastAsia="es-ES"/>
        </w:rPr>
      </w:pPr>
    </w:p>
    <w:p w14:paraId="4FB370D6" w14:textId="77777777" w:rsidR="00A756C1" w:rsidRPr="00A756C1" w:rsidRDefault="00A756C1" w:rsidP="00A756C1">
      <w:pPr>
        <w:pStyle w:val="Default"/>
        <w:jc w:val="both"/>
        <w:rPr>
          <w:rFonts w:ascii="Arial" w:hAnsi="Arial" w:cs="Arial"/>
          <w:color w:val="auto"/>
          <w:sz w:val="22"/>
          <w:szCs w:val="22"/>
        </w:rPr>
      </w:pPr>
      <w:r w:rsidRPr="00A756C1">
        <w:rPr>
          <w:rFonts w:ascii="Arial" w:hAnsi="Arial" w:cs="Arial"/>
          <w:color w:val="auto"/>
          <w:sz w:val="22"/>
          <w:szCs w:val="22"/>
        </w:rPr>
        <w:t>Las unidades documentales textuales presentan ordenación cronológica y numérica.</w:t>
      </w:r>
    </w:p>
    <w:p w14:paraId="31FC9537" w14:textId="77777777" w:rsidR="00A756C1" w:rsidRPr="00A756C1" w:rsidRDefault="00A756C1" w:rsidP="00A756C1">
      <w:pPr>
        <w:pStyle w:val="Default"/>
        <w:jc w:val="both"/>
        <w:rPr>
          <w:rFonts w:ascii="Arial" w:hAnsi="Arial" w:cs="Arial"/>
          <w:color w:val="auto"/>
          <w:sz w:val="22"/>
          <w:szCs w:val="22"/>
        </w:rPr>
      </w:pPr>
    </w:p>
    <w:p w14:paraId="41F51FCB" w14:textId="77777777" w:rsidR="00A756C1" w:rsidRPr="00A756C1" w:rsidRDefault="00A756C1" w:rsidP="00A756C1">
      <w:pPr>
        <w:pStyle w:val="Default"/>
        <w:jc w:val="both"/>
        <w:rPr>
          <w:rFonts w:ascii="Arial" w:hAnsi="Arial" w:cs="Arial"/>
          <w:b/>
          <w:bCs/>
          <w:color w:val="auto"/>
          <w:sz w:val="22"/>
          <w:szCs w:val="22"/>
        </w:rPr>
      </w:pPr>
    </w:p>
    <w:p w14:paraId="73D18D27" w14:textId="77777777" w:rsidR="00A756C1" w:rsidRPr="00A756C1" w:rsidRDefault="00A756C1" w:rsidP="00A756C1">
      <w:pPr>
        <w:pStyle w:val="Default"/>
        <w:numPr>
          <w:ilvl w:val="0"/>
          <w:numId w:val="15"/>
        </w:numPr>
        <w:ind w:left="0" w:firstLine="0"/>
        <w:jc w:val="both"/>
        <w:rPr>
          <w:rFonts w:ascii="Arial" w:hAnsi="Arial" w:cs="Arial"/>
          <w:b/>
          <w:bCs/>
          <w:color w:val="auto"/>
          <w:sz w:val="22"/>
          <w:szCs w:val="22"/>
        </w:rPr>
      </w:pPr>
      <w:r w:rsidRPr="00A756C1">
        <w:rPr>
          <w:rFonts w:ascii="Arial" w:hAnsi="Arial" w:cs="Arial"/>
          <w:b/>
          <w:bCs/>
          <w:color w:val="auto"/>
          <w:sz w:val="22"/>
          <w:szCs w:val="22"/>
        </w:rPr>
        <w:t>ÁREA DE CONDICIONES DE ACCESO Y UTILIZACIÓN.</w:t>
      </w:r>
    </w:p>
    <w:p w14:paraId="49210C46" w14:textId="77777777" w:rsidR="00A756C1" w:rsidRPr="00A756C1" w:rsidRDefault="00A756C1" w:rsidP="00A756C1">
      <w:pPr>
        <w:jc w:val="both"/>
        <w:rPr>
          <w:rFonts w:cs="Arial"/>
        </w:rPr>
      </w:pPr>
    </w:p>
    <w:p w14:paraId="13E0C40E" w14:textId="77777777" w:rsidR="00A756C1" w:rsidRPr="00A756C1" w:rsidRDefault="00A756C1" w:rsidP="00A756C1">
      <w:pPr>
        <w:numPr>
          <w:ilvl w:val="1"/>
          <w:numId w:val="15"/>
        </w:numPr>
        <w:ind w:left="0" w:firstLine="0"/>
        <w:jc w:val="both"/>
        <w:rPr>
          <w:rFonts w:cs="Arial"/>
          <w:bCs/>
        </w:rPr>
      </w:pPr>
      <w:r w:rsidRPr="00A756C1">
        <w:rPr>
          <w:rFonts w:cs="Arial"/>
          <w:b/>
          <w:bCs/>
        </w:rPr>
        <w:t xml:space="preserve">CONDICIONES DE ACCESO:  </w:t>
      </w:r>
      <w:r w:rsidRPr="00A756C1">
        <w:rPr>
          <w:rFonts w:cs="Arial"/>
          <w:bCs/>
        </w:rPr>
        <w:t>Libre</w:t>
      </w:r>
    </w:p>
    <w:p w14:paraId="30CE12C5" w14:textId="77777777" w:rsidR="00A756C1" w:rsidRPr="00A756C1" w:rsidRDefault="00A756C1" w:rsidP="00A756C1">
      <w:pPr>
        <w:ind w:left="720"/>
        <w:jc w:val="both"/>
        <w:rPr>
          <w:rFonts w:cs="Arial"/>
          <w:bCs/>
        </w:rPr>
      </w:pPr>
    </w:p>
    <w:p w14:paraId="6CB2E68E" w14:textId="77777777" w:rsidR="00A756C1" w:rsidRPr="00A756C1" w:rsidRDefault="00A756C1" w:rsidP="00A756C1">
      <w:pPr>
        <w:jc w:val="both"/>
        <w:rPr>
          <w:rFonts w:cs="Arial"/>
          <w:bCs/>
        </w:rPr>
      </w:pPr>
      <w:r w:rsidRPr="00A756C1">
        <w:rPr>
          <w:rFonts w:cs="Arial"/>
          <w:b/>
          <w:bCs/>
        </w:rPr>
        <w:t xml:space="preserve">4.2 CONDICIONES DE REPRODUCCIÓN: </w:t>
      </w:r>
      <w:bookmarkStart w:id="0" w:name="OLE_LINK3"/>
      <w:r w:rsidRPr="00A756C1">
        <w:rPr>
          <w:rFonts w:cs="Arial"/>
          <w:lang w:val="es-ES_tradn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bookmarkEnd w:id="0"/>
    </w:p>
    <w:p w14:paraId="2643D15F" w14:textId="77777777" w:rsidR="00A756C1" w:rsidRPr="00A756C1" w:rsidRDefault="00A756C1" w:rsidP="00A756C1">
      <w:pPr>
        <w:jc w:val="both"/>
        <w:rPr>
          <w:rFonts w:cs="Arial"/>
        </w:rPr>
      </w:pPr>
    </w:p>
    <w:p w14:paraId="12C3DFB0" w14:textId="77777777" w:rsidR="00A756C1" w:rsidRPr="00A756C1" w:rsidRDefault="00A756C1" w:rsidP="00A756C1">
      <w:pPr>
        <w:numPr>
          <w:ilvl w:val="1"/>
          <w:numId w:val="16"/>
        </w:numPr>
        <w:jc w:val="both"/>
        <w:rPr>
          <w:rFonts w:cs="Arial"/>
        </w:rPr>
      </w:pPr>
      <w:r w:rsidRPr="00A756C1">
        <w:rPr>
          <w:rFonts w:cs="Arial"/>
          <w:b/>
          <w:bCs/>
        </w:rPr>
        <w:t xml:space="preserve">LENGUA / ESCRITURA (S) DE LOS DOCUMENTOS: </w:t>
      </w:r>
      <w:r w:rsidRPr="00A756C1">
        <w:rPr>
          <w:rFonts w:cs="Arial"/>
          <w:bCs/>
        </w:rPr>
        <w:t>E</w:t>
      </w:r>
      <w:r w:rsidRPr="00A756C1">
        <w:rPr>
          <w:rFonts w:cs="Arial"/>
        </w:rPr>
        <w:t>spañol</w:t>
      </w:r>
    </w:p>
    <w:p w14:paraId="7F6922EC" w14:textId="77777777" w:rsidR="00A756C1" w:rsidRPr="00A756C1" w:rsidRDefault="00A756C1" w:rsidP="00A756C1">
      <w:pPr>
        <w:jc w:val="both"/>
        <w:rPr>
          <w:rFonts w:cs="Arial"/>
        </w:rPr>
      </w:pPr>
    </w:p>
    <w:p w14:paraId="7F6DBC94" w14:textId="77777777" w:rsidR="00A756C1" w:rsidRPr="00A756C1" w:rsidRDefault="00A756C1" w:rsidP="00A756C1">
      <w:pPr>
        <w:jc w:val="both"/>
        <w:rPr>
          <w:rFonts w:cs="Arial"/>
          <w:bCs/>
        </w:rPr>
      </w:pPr>
      <w:r w:rsidRPr="00A756C1">
        <w:rPr>
          <w:rFonts w:cs="Arial"/>
          <w:b/>
          <w:bCs/>
        </w:rPr>
        <w:lastRenderedPageBreak/>
        <w:t xml:space="preserve">4.4 CARACTERÍSTICAS FÍSICAS Y REQUISITOS TÉCNICO: </w:t>
      </w:r>
      <w:r w:rsidRPr="00A756C1">
        <w:rPr>
          <w:rFonts w:cs="Arial"/>
        </w:rPr>
        <w:t>Documentos en</w:t>
      </w:r>
      <w:r w:rsidRPr="00A756C1">
        <w:rPr>
          <w:rFonts w:cs="Arial"/>
          <w:bCs/>
        </w:rPr>
        <w:t xml:space="preserve"> buen estado de conservación.</w:t>
      </w:r>
    </w:p>
    <w:p w14:paraId="2FE87BEB" w14:textId="77777777" w:rsidR="00A756C1" w:rsidRPr="00A756C1" w:rsidRDefault="00A756C1" w:rsidP="00A756C1">
      <w:pPr>
        <w:jc w:val="both"/>
        <w:rPr>
          <w:rFonts w:cs="Arial"/>
        </w:rPr>
      </w:pPr>
    </w:p>
    <w:p w14:paraId="04E6AD7B" w14:textId="77777777" w:rsidR="00A756C1" w:rsidRPr="00A756C1" w:rsidRDefault="00A756C1" w:rsidP="00A756C1">
      <w:pPr>
        <w:numPr>
          <w:ilvl w:val="1"/>
          <w:numId w:val="17"/>
        </w:numPr>
        <w:ind w:left="0" w:firstLine="0"/>
        <w:jc w:val="both"/>
        <w:rPr>
          <w:rFonts w:cs="Arial"/>
        </w:rPr>
      </w:pPr>
      <w:r w:rsidRPr="00A756C1">
        <w:rPr>
          <w:rFonts w:cs="Arial"/>
          <w:b/>
          <w:bCs/>
        </w:rPr>
        <w:t xml:space="preserve">INSTRUMENTOS DE DESCRIPCIÓN: </w:t>
      </w:r>
      <w:r w:rsidRPr="00A756C1">
        <w:rPr>
          <w:rFonts w:cs="Arial"/>
          <w:lang w:val="es-ES_tradnl"/>
        </w:rPr>
        <w:t>Se cuenta con tres inventarios</w:t>
      </w:r>
      <w:r w:rsidRPr="00A756C1">
        <w:rPr>
          <w:rFonts w:cs="Arial"/>
        </w:rPr>
        <w:t xml:space="preserve"> </w:t>
      </w:r>
      <w:r w:rsidRPr="00A756C1">
        <w:rPr>
          <w:rFonts w:cs="Arial"/>
          <w:lang w:val="es-ES_tradnl"/>
        </w:rPr>
        <w:t xml:space="preserve">mecanografiados ordenados consecutivamente por signatura de la 1 a la 5.790 </w:t>
      </w:r>
      <w:r w:rsidRPr="00A756C1">
        <w:rPr>
          <w:rFonts w:cs="Arial"/>
        </w:rPr>
        <w:t>y con registros auto</w:t>
      </w:r>
      <w:r w:rsidRPr="00A756C1">
        <w:rPr>
          <w:rFonts w:cs="Arial"/>
          <w:lang w:val="es-ES_tradnl"/>
        </w:rPr>
        <w:t>matizados en la base de datos matriz.</w:t>
      </w:r>
    </w:p>
    <w:p w14:paraId="209A099F" w14:textId="77777777" w:rsidR="00A756C1" w:rsidRPr="00A756C1" w:rsidRDefault="00A756C1" w:rsidP="00A756C1">
      <w:pPr>
        <w:jc w:val="both"/>
        <w:rPr>
          <w:rFonts w:cs="Arial"/>
        </w:rPr>
      </w:pPr>
    </w:p>
    <w:p w14:paraId="506FEC9B" w14:textId="77777777" w:rsidR="00A756C1" w:rsidRPr="00A756C1" w:rsidRDefault="00A756C1" w:rsidP="00A756C1">
      <w:pPr>
        <w:jc w:val="both"/>
        <w:rPr>
          <w:rFonts w:cs="Arial"/>
        </w:rPr>
      </w:pPr>
    </w:p>
    <w:p w14:paraId="70D4D9F6" w14:textId="77777777" w:rsidR="00A756C1" w:rsidRPr="00A756C1" w:rsidRDefault="00A756C1" w:rsidP="00A756C1">
      <w:pPr>
        <w:numPr>
          <w:ilvl w:val="0"/>
          <w:numId w:val="17"/>
        </w:numPr>
        <w:jc w:val="both"/>
        <w:rPr>
          <w:rFonts w:cs="Arial"/>
          <w:b/>
          <w:bCs/>
        </w:rPr>
      </w:pPr>
      <w:r w:rsidRPr="00A756C1">
        <w:rPr>
          <w:rFonts w:cs="Arial"/>
          <w:b/>
          <w:bCs/>
        </w:rPr>
        <w:t>ÁREA DE DOCUMENTACIÓN ASOCIADA</w:t>
      </w:r>
    </w:p>
    <w:p w14:paraId="30BAA289" w14:textId="77777777" w:rsidR="00A756C1" w:rsidRPr="00A756C1" w:rsidRDefault="00A756C1" w:rsidP="00A756C1">
      <w:pPr>
        <w:jc w:val="both"/>
        <w:rPr>
          <w:rFonts w:cs="Arial"/>
          <w:b/>
          <w:bCs/>
        </w:rPr>
      </w:pPr>
    </w:p>
    <w:p w14:paraId="02FA3877" w14:textId="77777777" w:rsidR="00A756C1" w:rsidRPr="00A756C1" w:rsidRDefault="00A756C1" w:rsidP="00A756C1">
      <w:pPr>
        <w:numPr>
          <w:ilvl w:val="1"/>
          <w:numId w:val="18"/>
        </w:numPr>
        <w:ind w:left="0" w:firstLine="0"/>
        <w:jc w:val="both"/>
        <w:rPr>
          <w:rFonts w:cs="Arial"/>
        </w:rPr>
      </w:pPr>
      <w:r w:rsidRPr="00A756C1">
        <w:rPr>
          <w:rFonts w:cs="Arial"/>
          <w:b/>
          <w:bCs/>
        </w:rPr>
        <w:t xml:space="preserve">UNIDADES DE DESCRIPCIÓN RELACIONADAS: </w:t>
      </w:r>
      <w:r w:rsidRPr="00A756C1">
        <w:rPr>
          <w:rFonts w:cs="Arial"/>
          <w:lang w:val="es-ES_tradnl"/>
        </w:rPr>
        <w:t>En los siguientes fondos</w:t>
      </w:r>
      <w:r w:rsidRPr="00A756C1">
        <w:rPr>
          <w:rFonts w:cs="Arial"/>
        </w:rPr>
        <w:t xml:space="preserve"> </w:t>
      </w:r>
      <w:r w:rsidRPr="00A756C1">
        <w:rPr>
          <w:rFonts w:cs="Arial"/>
          <w:lang w:val="es-ES_tradnl"/>
        </w:rPr>
        <w:t>documentales custodiados por el Archivo Histórico</w:t>
      </w:r>
      <w:r w:rsidRPr="00A756C1">
        <w:rPr>
          <w:rFonts w:cs="Arial"/>
        </w:rPr>
        <w:t>: Denuncios de tierras, Denuncios de Minas, Municipal, Gobernación, Congreso, Fomento, Ministerio de Economía.</w:t>
      </w:r>
    </w:p>
    <w:p w14:paraId="5454E6C6" w14:textId="77777777" w:rsidR="00A756C1" w:rsidRPr="00A756C1" w:rsidRDefault="00A756C1" w:rsidP="00A756C1">
      <w:pPr>
        <w:jc w:val="both"/>
        <w:rPr>
          <w:rFonts w:cs="Arial"/>
        </w:rPr>
      </w:pPr>
    </w:p>
    <w:p w14:paraId="582626F4" w14:textId="77777777" w:rsidR="00A756C1" w:rsidRPr="00A756C1" w:rsidRDefault="00A756C1" w:rsidP="00A756C1">
      <w:pPr>
        <w:numPr>
          <w:ilvl w:val="1"/>
          <w:numId w:val="18"/>
        </w:numPr>
        <w:ind w:left="0" w:firstLine="0"/>
        <w:jc w:val="both"/>
        <w:rPr>
          <w:rFonts w:cs="Arial"/>
        </w:rPr>
      </w:pPr>
      <w:r w:rsidRPr="00A756C1">
        <w:rPr>
          <w:rFonts w:cs="Arial"/>
          <w:b/>
        </w:rPr>
        <w:t>NOTA DE PUBLICACIONES:</w:t>
      </w:r>
    </w:p>
    <w:p w14:paraId="4AB13422" w14:textId="77777777" w:rsidR="00A756C1" w:rsidRPr="00A756C1" w:rsidRDefault="00A756C1" w:rsidP="00A756C1">
      <w:pPr>
        <w:jc w:val="both"/>
        <w:rPr>
          <w:rFonts w:cs="Arial"/>
          <w:b/>
          <w:bCs/>
        </w:rPr>
      </w:pPr>
    </w:p>
    <w:p w14:paraId="0B29DFDC" w14:textId="77777777" w:rsidR="00A756C1" w:rsidRPr="00A756C1" w:rsidRDefault="00A756C1" w:rsidP="00A756C1">
      <w:pPr>
        <w:autoSpaceDE w:val="0"/>
        <w:autoSpaceDN w:val="0"/>
        <w:adjustRightInd w:val="0"/>
        <w:jc w:val="both"/>
        <w:rPr>
          <w:rFonts w:cs="Arial"/>
          <w:bCs/>
        </w:rPr>
      </w:pPr>
      <w:r w:rsidRPr="00A756C1">
        <w:rPr>
          <w:rFonts w:cs="Arial"/>
          <w:lang w:eastAsia="es-CR"/>
        </w:rPr>
        <w:t xml:space="preserve">Bartels Villanueva, Jorge, Chavarría Castro, Baruc, Marín Hernández, Juan José y Viales Hurtado, Ronny José. (2014). </w:t>
      </w:r>
      <w:r w:rsidRPr="00A756C1">
        <w:rPr>
          <w:rFonts w:cs="Arial"/>
          <w:bCs/>
          <w:lang w:eastAsia="es-CR"/>
        </w:rPr>
        <w:t>La minería en Bellavista-Miramar, Costa Rica: ¿dónde quedó La riqueza?</w:t>
      </w:r>
      <w:r w:rsidRPr="00A756C1">
        <w:rPr>
          <w:rFonts w:cs="Arial"/>
          <w:lang w:eastAsia="es-CR"/>
        </w:rPr>
        <w:t xml:space="preserve"> Historia, conflicto y percepciones de una explotación. 1821-2012, 1a edición - San José, Costa Rica, Editorial Nuevas Perspectivas, 170 páginas.</w:t>
      </w:r>
    </w:p>
    <w:p w14:paraId="607DB6CA" w14:textId="77777777" w:rsidR="00A756C1" w:rsidRPr="00A756C1" w:rsidRDefault="00A756C1" w:rsidP="00A756C1">
      <w:pPr>
        <w:jc w:val="both"/>
        <w:rPr>
          <w:rFonts w:cs="Arial"/>
          <w:b/>
          <w:bCs/>
        </w:rPr>
      </w:pPr>
    </w:p>
    <w:p w14:paraId="51DA423E" w14:textId="77777777" w:rsidR="00A756C1" w:rsidRPr="00A756C1" w:rsidRDefault="00A756C1" w:rsidP="00A756C1">
      <w:pPr>
        <w:jc w:val="both"/>
        <w:rPr>
          <w:rFonts w:cs="Arial"/>
          <w:b/>
          <w:bCs/>
        </w:rPr>
      </w:pPr>
    </w:p>
    <w:p w14:paraId="3D2C1CB7" w14:textId="4DC669A6" w:rsidR="00A756C1" w:rsidRPr="00A756C1" w:rsidRDefault="00A756C1" w:rsidP="00A756C1">
      <w:pPr>
        <w:jc w:val="both"/>
        <w:rPr>
          <w:rFonts w:cs="Arial"/>
          <w:b/>
          <w:bCs/>
        </w:rPr>
      </w:pPr>
      <w:r w:rsidRPr="00A756C1">
        <w:rPr>
          <w:rFonts w:cs="Arial"/>
          <w:b/>
          <w:bCs/>
        </w:rPr>
        <w:t>7</w:t>
      </w:r>
      <w:r w:rsidR="001C140B">
        <w:rPr>
          <w:rFonts w:cs="Arial"/>
          <w:b/>
          <w:bCs/>
        </w:rPr>
        <w:t xml:space="preserve">. </w:t>
      </w:r>
      <w:bookmarkStart w:id="1" w:name="_GoBack"/>
      <w:bookmarkEnd w:id="1"/>
      <w:r w:rsidRPr="00A756C1">
        <w:rPr>
          <w:rFonts w:cs="Arial"/>
          <w:b/>
          <w:bCs/>
        </w:rPr>
        <w:t>ÁREA DE CONTROL DE LA DESCRIPCIÓN</w:t>
      </w:r>
    </w:p>
    <w:p w14:paraId="60566A4D" w14:textId="77777777" w:rsidR="00A756C1" w:rsidRPr="00A756C1" w:rsidRDefault="00A756C1" w:rsidP="00A756C1">
      <w:pPr>
        <w:jc w:val="both"/>
        <w:rPr>
          <w:rFonts w:cs="Arial"/>
        </w:rPr>
      </w:pPr>
    </w:p>
    <w:p w14:paraId="6E38F34C" w14:textId="77777777" w:rsidR="00A756C1" w:rsidRPr="00A756C1" w:rsidRDefault="00A756C1" w:rsidP="00A756C1">
      <w:pPr>
        <w:jc w:val="both"/>
        <w:rPr>
          <w:rFonts w:cs="Arial"/>
          <w:bCs/>
        </w:rPr>
      </w:pPr>
      <w:r w:rsidRPr="00A756C1">
        <w:rPr>
          <w:rFonts w:cs="Arial"/>
          <w:b/>
          <w:bCs/>
        </w:rPr>
        <w:t xml:space="preserve">7. 1 NOTA DEL ARCHIVERO: </w:t>
      </w:r>
      <w:r w:rsidRPr="00A756C1">
        <w:rPr>
          <w:rFonts w:cs="Arial"/>
          <w:bCs/>
        </w:rPr>
        <w:t xml:space="preserve">Entrada elaborada por Emilia Vargas Solís y Mario González Camacho, ex funcionarios del Departamento Servicios Archivísticos Externos el 5 de abril de 1994. </w:t>
      </w:r>
      <w:r w:rsidRPr="00A756C1">
        <w:rPr>
          <w:rFonts w:cs="Arial"/>
        </w:rPr>
        <w:t>Revisada y actualizada por Alejandra Chavarría Alvarado, Profesional del Departamento de Archivo Histórico en octubre de 2014.</w:t>
      </w:r>
    </w:p>
    <w:p w14:paraId="19DA96F5" w14:textId="77777777" w:rsidR="00A756C1" w:rsidRPr="00A756C1" w:rsidRDefault="00A756C1" w:rsidP="00A756C1">
      <w:pPr>
        <w:jc w:val="both"/>
        <w:rPr>
          <w:rFonts w:cs="Arial"/>
        </w:rPr>
      </w:pPr>
    </w:p>
    <w:p w14:paraId="71DE01A7" w14:textId="77777777" w:rsidR="00A756C1" w:rsidRPr="00A756C1" w:rsidRDefault="00A756C1" w:rsidP="00A756C1">
      <w:pPr>
        <w:jc w:val="both"/>
        <w:rPr>
          <w:rFonts w:cs="Arial"/>
          <w:bCs/>
        </w:rPr>
      </w:pPr>
      <w:r w:rsidRPr="00A756C1">
        <w:rPr>
          <w:rFonts w:cs="Arial"/>
          <w:bCs/>
        </w:rPr>
        <w:t>La presente actualización de la entrada descriptiva se fundamentó en los siguientes documentos:</w:t>
      </w:r>
    </w:p>
    <w:p w14:paraId="6CF25CE6" w14:textId="77777777" w:rsidR="00A756C1" w:rsidRPr="00A756C1" w:rsidRDefault="00A756C1" w:rsidP="00A756C1">
      <w:pPr>
        <w:numPr>
          <w:ilvl w:val="0"/>
          <w:numId w:val="19"/>
        </w:numPr>
        <w:ind w:left="426"/>
        <w:jc w:val="both"/>
        <w:rPr>
          <w:rFonts w:cs="Arial"/>
          <w:bCs/>
        </w:rPr>
      </w:pPr>
      <w:r w:rsidRPr="00A756C1">
        <w:rPr>
          <w:rFonts w:cs="Arial"/>
          <w:bCs/>
        </w:rPr>
        <w:t>Documentos electrónicos y sitios web:</w:t>
      </w:r>
    </w:p>
    <w:p w14:paraId="28E2DFDD" w14:textId="77777777" w:rsidR="00A756C1" w:rsidRPr="00A756C1" w:rsidRDefault="00A756C1" w:rsidP="00A756C1">
      <w:pPr>
        <w:numPr>
          <w:ilvl w:val="0"/>
          <w:numId w:val="20"/>
        </w:numPr>
        <w:jc w:val="both"/>
        <w:rPr>
          <w:rFonts w:cs="Arial"/>
          <w:bCs/>
        </w:rPr>
      </w:pPr>
      <w:r w:rsidRPr="00A756C1">
        <w:rPr>
          <w:rFonts w:cs="Arial"/>
          <w:bCs/>
        </w:rPr>
        <w:t>Boletín Oficial número 2 de la Dirección de Geología y Minas. En: http://www.geologia.go.cr/75_aniversario/documentos_75_aniversario/boletin_2_layout_1.pdf</w:t>
      </w:r>
    </w:p>
    <w:p w14:paraId="22B2E1F3" w14:textId="77777777" w:rsidR="00A756C1" w:rsidRPr="00A756C1" w:rsidRDefault="00A756C1" w:rsidP="00A756C1">
      <w:pPr>
        <w:numPr>
          <w:ilvl w:val="0"/>
          <w:numId w:val="20"/>
        </w:numPr>
        <w:jc w:val="both"/>
        <w:rPr>
          <w:rFonts w:cs="Arial"/>
          <w:bCs/>
        </w:rPr>
      </w:pPr>
      <w:r w:rsidRPr="00A756C1">
        <w:rPr>
          <w:rFonts w:cs="Arial"/>
          <w:bCs/>
        </w:rPr>
        <w:t>http://www.geologia.go.cr/viejo/ley_reglamentos/codigo_mineria/Registro%20Nacional%20Minero.html</w:t>
      </w:r>
    </w:p>
    <w:p w14:paraId="4392F7C0" w14:textId="77777777" w:rsidR="00A756C1" w:rsidRPr="00A756C1" w:rsidRDefault="00A756C1" w:rsidP="00A756C1">
      <w:pPr>
        <w:jc w:val="both"/>
        <w:rPr>
          <w:rFonts w:cs="Arial"/>
          <w:bCs/>
        </w:rPr>
      </w:pPr>
    </w:p>
    <w:p w14:paraId="78375DBC" w14:textId="77777777" w:rsidR="00A756C1" w:rsidRPr="00A756C1" w:rsidRDefault="00A756C1" w:rsidP="00A756C1">
      <w:pPr>
        <w:numPr>
          <w:ilvl w:val="0"/>
          <w:numId w:val="19"/>
        </w:numPr>
        <w:ind w:left="360"/>
        <w:jc w:val="both"/>
        <w:rPr>
          <w:rFonts w:cs="Arial"/>
        </w:rPr>
      </w:pPr>
      <w:r w:rsidRPr="00A756C1">
        <w:rPr>
          <w:rFonts w:cs="Arial"/>
          <w:bCs/>
        </w:rPr>
        <w:t>Expedientes del Departamento Servicios Archivísticos Externos del Archivo Nacional de Costa Rica:</w:t>
      </w:r>
    </w:p>
    <w:p w14:paraId="7F13DF18" w14:textId="77777777" w:rsidR="00A756C1" w:rsidRPr="00A756C1" w:rsidRDefault="00A756C1" w:rsidP="00A756C1">
      <w:pPr>
        <w:ind w:left="360"/>
        <w:jc w:val="both"/>
        <w:rPr>
          <w:rFonts w:cs="Arial"/>
        </w:rPr>
      </w:pPr>
      <w:r w:rsidRPr="00A756C1">
        <w:rPr>
          <w:rFonts w:cs="Arial"/>
          <w:b/>
          <w:bCs/>
        </w:rPr>
        <w:t>-</w:t>
      </w:r>
      <w:r w:rsidRPr="00A756C1">
        <w:rPr>
          <w:rFonts w:cs="Arial"/>
        </w:rPr>
        <w:t>Expediente de transferencias de la Dirección General de Minas e Hidrocarburos del Ministerio de Ambiente y Energía.</w:t>
      </w:r>
    </w:p>
    <w:p w14:paraId="386287D7" w14:textId="77777777" w:rsidR="00A756C1" w:rsidRPr="00A756C1" w:rsidRDefault="00A756C1" w:rsidP="00A756C1">
      <w:pPr>
        <w:jc w:val="both"/>
        <w:rPr>
          <w:rFonts w:cs="Arial"/>
          <w:u w:val="single"/>
        </w:rPr>
      </w:pPr>
    </w:p>
    <w:p w14:paraId="37022124" w14:textId="77777777" w:rsidR="00A756C1" w:rsidRPr="00A756C1" w:rsidRDefault="00A756C1" w:rsidP="00A756C1">
      <w:pPr>
        <w:jc w:val="both"/>
        <w:rPr>
          <w:rFonts w:cs="Arial"/>
          <w:b/>
          <w:bCs/>
        </w:rPr>
      </w:pPr>
      <w:r w:rsidRPr="00A756C1">
        <w:rPr>
          <w:rFonts w:cs="Arial"/>
          <w:b/>
          <w:bCs/>
        </w:rPr>
        <w:t>7.2 REGLAS O NORMAS:</w:t>
      </w:r>
    </w:p>
    <w:p w14:paraId="67BE3A57" w14:textId="77777777" w:rsidR="00A756C1" w:rsidRPr="00A756C1" w:rsidRDefault="00A756C1" w:rsidP="00A756C1">
      <w:pPr>
        <w:jc w:val="both"/>
        <w:rPr>
          <w:rFonts w:cs="Arial"/>
          <w:lang w:val="es-ES_tradnl"/>
        </w:rPr>
      </w:pPr>
      <w:r w:rsidRPr="00A756C1">
        <w:rPr>
          <w:rFonts w:cs="Arial"/>
          <w:lang w:val="es-ES_tradnl"/>
        </w:rPr>
        <w:t xml:space="preserve">Consejo Internacional de Archivos. ISAD (G) (2000). </w:t>
      </w:r>
      <w:r w:rsidRPr="00A756C1">
        <w:rPr>
          <w:rFonts w:cs="Arial"/>
          <w:i/>
          <w:lang w:val="es-ES_tradnl"/>
        </w:rPr>
        <w:t>Norma Internacional General de Descripción Archivística</w:t>
      </w:r>
      <w:r w:rsidRPr="00A756C1">
        <w:rPr>
          <w:rFonts w:cs="Arial"/>
          <w:lang w:val="es-ES_tradnl"/>
        </w:rPr>
        <w:t>. Madrid, Subdirección de los Archivos Estatales.</w:t>
      </w:r>
    </w:p>
    <w:p w14:paraId="07D11AC3" w14:textId="77777777" w:rsidR="00A756C1" w:rsidRPr="00A756C1" w:rsidRDefault="00A756C1" w:rsidP="00A756C1">
      <w:pPr>
        <w:jc w:val="both"/>
        <w:rPr>
          <w:rFonts w:cs="Arial"/>
          <w:lang w:val="es-ES_tradnl"/>
        </w:rPr>
      </w:pPr>
    </w:p>
    <w:p w14:paraId="7BFC67AE" w14:textId="77777777" w:rsidR="00A756C1" w:rsidRPr="00A756C1" w:rsidRDefault="00A756C1" w:rsidP="00A756C1">
      <w:pPr>
        <w:jc w:val="both"/>
        <w:rPr>
          <w:rFonts w:cs="Arial"/>
          <w:lang w:val="es-ES_tradnl" w:eastAsia="ar-SA"/>
        </w:rPr>
      </w:pPr>
      <w:r w:rsidRPr="00A756C1">
        <w:rPr>
          <w:rFonts w:cs="Arial"/>
          <w:lang w:val="es-ES_tradnl" w:eastAsia="es-CR"/>
        </w:rPr>
        <w:lastRenderedPageBreak/>
        <w:t xml:space="preserve">Dirección General del Archivo Nacional (2010). </w:t>
      </w:r>
      <w:r w:rsidRPr="00A756C1">
        <w:rPr>
          <w:rFonts w:cs="Arial"/>
          <w:i/>
          <w:lang w:val="es-ES_tradnl" w:eastAsia="es-CR"/>
        </w:rPr>
        <w:t xml:space="preserve">Aplicación de la Norma Internacional de Descripción ISAD (G) en el Archivo Nacional. </w:t>
      </w:r>
      <w:r w:rsidRPr="00A756C1">
        <w:rPr>
          <w:rFonts w:cs="Arial"/>
          <w:lang w:val="es-ES_tradnl" w:eastAsia="es-CR"/>
        </w:rPr>
        <w:t>Actualizada en mayo de 2011.</w:t>
      </w:r>
    </w:p>
    <w:p w14:paraId="1D226AEF" w14:textId="77777777" w:rsidR="00A756C1" w:rsidRPr="00A756C1" w:rsidRDefault="00A756C1" w:rsidP="00A756C1">
      <w:pPr>
        <w:jc w:val="both"/>
        <w:rPr>
          <w:rFonts w:cs="Arial"/>
          <w:lang w:val="es-ES_tradnl"/>
        </w:rPr>
      </w:pPr>
    </w:p>
    <w:p w14:paraId="4C6D1BE1" w14:textId="77777777" w:rsidR="00A756C1" w:rsidRPr="00A756C1" w:rsidRDefault="00A756C1" w:rsidP="00A756C1">
      <w:pPr>
        <w:jc w:val="both"/>
        <w:rPr>
          <w:rFonts w:cs="Arial"/>
          <w:lang w:val="es-ES_tradnl"/>
        </w:rPr>
      </w:pPr>
      <w:r w:rsidRPr="00A756C1">
        <w:rPr>
          <w:rFonts w:cs="Arial"/>
          <w:b/>
          <w:lang w:val="es-ES_tradnl"/>
        </w:rPr>
        <w:t>7.3 FECHA (S) DE LA (S) DESCRIPCIÓN (ES):</w:t>
      </w:r>
      <w:r w:rsidRPr="00A756C1">
        <w:rPr>
          <w:rFonts w:cs="Arial"/>
          <w:b/>
          <w:bCs/>
        </w:rPr>
        <w:t xml:space="preserve"> </w:t>
      </w:r>
      <w:r w:rsidRPr="00A756C1">
        <w:rPr>
          <w:rFonts w:cs="Arial"/>
          <w:lang w:val="es-ES_tradnl"/>
        </w:rPr>
        <w:t xml:space="preserve">2014-12. </w:t>
      </w:r>
      <w:r w:rsidRPr="00A756C1">
        <w:rPr>
          <w:rFonts w:cs="Arial"/>
          <w:bCs/>
          <w:lang w:val="es-ES_tradnl"/>
        </w:rPr>
        <w:t>Revisada y aprobada por la Comisión de Descripción del Archivo Nacional, sesión 11-2014 del 15 de diciembre.</w:t>
      </w:r>
    </w:p>
    <w:p w14:paraId="69434869" w14:textId="314CE3D3" w:rsidR="00550F08" w:rsidRPr="00A756C1" w:rsidRDefault="00550F08" w:rsidP="00A756C1">
      <w:pPr>
        <w:rPr>
          <w:rFonts w:cs="Arial"/>
          <w:lang w:val="es-ES_tradnl"/>
        </w:rPr>
      </w:pPr>
    </w:p>
    <w:sectPr w:rsidR="00550F08" w:rsidRPr="00A756C1"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81C1" w14:textId="77777777" w:rsidR="0039255E" w:rsidRDefault="0039255E" w:rsidP="00602906">
      <w:r>
        <w:separator/>
      </w:r>
    </w:p>
  </w:endnote>
  <w:endnote w:type="continuationSeparator" w:id="0">
    <w:p w14:paraId="43785D7A" w14:textId="77777777" w:rsidR="0039255E" w:rsidRDefault="0039255E"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76FB1F84"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45797" w14:textId="77777777" w:rsidR="0039255E" w:rsidRDefault="0039255E" w:rsidP="00602906">
      <w:r>
        <w:separator/>
      </w:r>
    </w:p>
  </w:footnote>
  <w:footnote w:type="continuationSeparator" w:id="0">
    <w:p w14:paraId="3F3AD7C7" w14:textId="77777777" w:rsidR="0039255E" w:rsidRDefault="0039255E"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3">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5">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7">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18">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9">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0">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25">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6">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83BC1"/>
    <w:rsid w:val="000A2019"/>
    <w:rsid w:val="000B37FA"/>
    <w:rsid w:val="00102082"/>
    <w:rsid w:val="00121DC6"/>
    <w:rsid w:val="001331FD"/>
    <w:rsid w:val="00134465"/>
    <w:rsid w:val="00136788"/>
    <w:rsid w:val="00144ABD"/>
    <w:rsid w:val="0016679D"/>
    <w:rsid w:val="0018675A"/>
    <w:rsid w:val="00191459"/>
    <w:rsid w:val="001C140B"/>
    <w:rsid w:val="001F3DCB"/>
    <w:rsid w:val="00225783"/>
    <w:rsid w:val="00231BF7"/>
    <w:rsid w:val="00236F86"/>
    <w:rsid w:val="002562E6"/>
    <w:rsid w:val="002676D8"/>
    <w:rsid w:val="00285EAE"/>
    <w:rsid w:val="00291E42"/>
    <w:rsid w:val="002A0CF5"/>
    <w:rsid w:val="002B2F5D"/>
    <w:rsid w:val="002B54C3"/>
    <w:rsid w:val="002F027B"/>
    <w:rsid w:val="003102DA"/>
    <w:rsid w:val="0034671D"/>
    <w:rsid w:val="003702DE"/>
    <w:rsid w:val="003755B0"/>
    <w:rsid w:val="0039255E"/>
    <w:rsid w:val="003A2B54"/>
    <w:rsid w:val="003A36DF"/>
    <w:rsid w:val="003B7978"/>
    <w:rsid w:val="00443518"/>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E7965"/>
    <w:rsid w:val="007211E4"/>
    <w:rsid w:val="00760013"/>
    <w:rsid w:val="007647D9"/>
    <w:rsid w:val="007A32FA"/>
    <w:rsid w:val="007B4427"/>
    <w:rsid w:val="007D29AE"/>
    <w:rsid w:val="00833FB5"/>
    <w:rsid w:val="00836E21"/>
    <w:rsid w:val="00902AEE"/>
    <w:rsid w:val="009136A0"/>
    <w:rsid w:val="00914DEB"/>
    <w:rsid w:val="009337A7"/>
    <w:rsid w:val="0096318C"/>
    <w:rsid w:val="009A0613"/>
    <w:rsid w:val="009B1D8F"/>
    <w:rsid w:val="009C4662"/>
    <w:rsid w:val="009D7720"/>
    <w:rsid w:val="009E138F"/>
    <w:rsid w:val="009F3A23"/>
    <w:rsid w:val="00A074ED"/>
    <w:rsid w:val="00A07EF0"/>
    <w:rsid w:val="00A1635C"/>
    <w:rsid w:val="00A16404"/>
    <w:rsid w:val="00A6609B"/>
    <w:rsid w:val="00A756C1"/>
    <w:rsid w:val="00A822A2"/>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D407F6"/>
    <w:rsid w:val="00D638A1"/>
    <w:rsid w:val="00DA50CF"/>
    <w:rsid w:val="00DC12F6"/>
    <w:rsid w:val="00DD17D2"/>
    <w:rsid w:val="00DF48E5"/>
    <w:rsid w:val="00E02D41"/>
    <w:rsid w:val="00E05D8E"/>
    <w:rsid w:val="00E20D28"/>
    <w:rsid w:val="00E33250"/>
    <w:rsid w:val="00E4347A"/>
    <w:rsid w:val="00E46D28"/>
    <w:rsid w:val="00E677E3"/>
    <w:rsid w:val="00E735AD"/>
    <w:rsid w:val="00E856B3"/>
    <w:rsid w:val="00EB0669"/>
    <w:rsid w:val="00EB7CFB"/>
    <w:rsid w:val="00EB7EF7"/>
    <w:rsid w:val="00F2227A"/>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0FF2-AA4E-4BB5-8B1E-4E9782E7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2017-04-17T18:14:00Z</dcterms:created>
  <dcterms:modified xsi:type="dcterms:W3CDTF">2017-04-19T15:26:00Z</dcterms:modified>
</cp:coreProperties>
</file>