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472C0" w14:textId="3592DC8B" w:rsidR="002562E6" w:rsidRPr="00295782" w:rsidRDefault="002562E6" w:rsidP="00295782">
      <w:pPr>
        <w:pStyle w:val="Ttulo1"/>
      </w:pPr>
      <w:r w:rsidRPr="00295782">
        <w:t>ENTRADA DESCRIPTIVA CON LA APLICACIÓN DE LA</w:t>
      </w:r>
    </w:p>
    <w:p w14:paraId="04259E22" w14:textId="7C62FECC" w:rsidR="002562E6" w:rsidRPr="00295782" w:rsidRDefault="002562E6" w:rsidP="00295782">
      <w:pPr>
        <w:pStyle w:val="Ttulo1"/>
      </w:pPr>
      <w:r w:rsidRPr="00295782">
        <w:t>NORMA INTERNACIONAL ISAD (G)</w:t>
      </w:r>
    </w:p>
    <w:p w14:paraId="323030C8" w14:textId="77777777" w:rsidR="002562E6" w:rsidRPr="00295782" w:rsidRDefault="002562E6" w:rsidP="00295782">
      <w:pPr>
        <w:pStyle w:val="Ttulo1"/>
      </w:pPr>
      <w:r w:rsidRPr="00295782">
        <w:t>FONDO: PROVINCIAL INDEPENDIENTE</w:t>
      </w:r>
    </w:p>
    <w:p w14:paraId="7CD5CA26" w14:textId="77777777" w:rsidR="002562E6" w:rsidRPr="002562E6" w:rsidRDefault="002562E6" w:rsidP="002562E6">
      <w:pPr>
        <w:keepNext/>
        <w:jc w:val="center"/>
        <w:outlineLvl w:val="1"/>
        <w:rPr>
          <w:rFonts w:cs="Arial"/>
          <w:b/>
          <w:bCs/>
        </w:rPr>
      </w:pPr>
    </w:p>
    <w:p w14:paraId="7DCC257F" w14:textId="77777777" w:rsidR="002562E6" w:rsidRPr="002562E6" w:rsidRDefault="002562E6" w:rsidP="002562E6">
      <w:pPr>
        <w:jc w:val="both"/>
        <w:rPr>
          <w:rFonts w:cs="Arial"/>
        </w:rPr>
      </w:pPr>
    </w:p>
    <w:p w14:paraId="1BC765DC" w14:textId="77777777" w:rsidR="002562E6" w:rsidRPr="002562E6" w:rsidRDefault="002562E6" w:rsidP="002562E6">
      <w:pPr>
        <w:numPr>
          <w:ilvl w:val="0"/>
          <w:numId w:val="5"/>
        </w:numPr>
        <w:jc w:val="both"/>
        <w:rPr>
          <w:rFonts w:cs="Arial"/>
          <w:b/>
          <w:bCs/>
        </w:rPr>
      </w:pPr>
      <w:r w:rsidRPr="002562E6">
        <w:rPr>
          <w:rFonts w:cs="Arial"/>
          <w:b/>
          <w:bCs/>
        </w:rPr>
        <w:t>ÁREA DE IDENTIFICACIÓN</w:t>
      </w:r>
    </w:p>
    <w:p w14:paraId="4B9B71FA" w14:textId="77777777" w:rsidR="002562E6" w:rsidRPr="002562E6" w:rsidRDefault="002562E6" w:rsidP="002562E6">
      <w:pPr>
        <w:jc w:val="both"/>
        <w:rPr>
          <w:rFonts w:cs="Arial"/>
        </w:rPr>
      </w:pPr>
    </w:p>
    <w:p w14:paraId="2570617C" w14:textId="77777777" w:rsidR="002562E6" w:rsidRPr="002562E6" w:rsidRDefault="002562E6" w:rsidP="002562E6">
      <w:pPr>
        <w:numPr>
          <w:ilvl w:val="1"/>
          <w:numId w:val="5"/>
        </w:numPr>
        <w:jc w:val="both"/>
        <w:rPr>
          <w:rFonts w:cs="Arial"/>
        </w:rPr>
      </w:pPr>
      <w:r w:rsidRPr="002562E6">
        <w:rPr>
          <w:rFonts w:cs="Arial"/>
          <w:b/>
          <w:bCs/>
        </w:rPr>
        <w:t>CÓDIGO DE REFERENCIA:</w:t>
      </w:r>
      <w:r w:rsidRPr="002562E6">
        <w:rPr>
          <w:rFonts w:cs="Arial"/>
        </w:rPr>
        <w:t xml:space="preserve"> CR-AN-AH-PI-000001-001468</w:t>
      </w:r>
      <w:r w:rsidRPr="002562E6">
        <w:rPr>
          <w:rFonts w:cs="Arial"/>
          <w:color w:val="FF0000"/>
        </w:rPr>
        <w:t xml:space="preserve"> </w:t>
      </w:r>
    </w:p>
    <w:p w14:paraId="63588778" w14:textId="77777777" w:rsidR="002562E6" w:rsidRPr="002562E6" w:rsidRDefault="002562E6" w:rsidP="002562E6">
      <w:pPr>
        <w:ind w:left="420"/>
        <w:jc w:val="both"/>
        <w:rPr>
          <w:rFonts w:cs="Arial"/>
        </w:rPr>
      </w:pPr>
    </w:p>
    <w:p w14:paraId="5651F3FD" w14:textId="77777777" w:rsidR="002562E6" w:rsidRPr="002562E6" w:rsidRDefault="002562E6" w:rsidP="002562E6">
      <w:pPr>
        <w:numPr>
          <w:ilvl w:val="1"/>
          <w:numId w:val="5"/>
        </w:numPr>
        <w:jc w:val="both"/>
        <w:rPr>
          <w:rFonts w:cs="Arial"/>
          <w:b/>
          <w:bCs/>
        </w:rPr>
      </w:pPr>
      <w:r w:rsidRPr="002562E6">
        <w:rPr>
          <w:rFonts w:cs="Arial"/>
          <w:b/>
          <w:bCs/>
        </w:rPr>
        <w:t xml:space="preserve">TÍTULO: </w:t>
      </w:r>
      <w:r w:rsidRPr="002562E6">
        <w:rPr>
          <w:rFonts w:cs="Arial"/>
        </w:rPr>
        <w:t>Provincial Independiente</w:t>
      </w:r>
    </w:p>
    <w:p w14:paraId="210A123F" w14:textId="77777777" w:rsidR="002562E6" w:rsidRPr="002562E6" w:rsidRDefault="002562E6" w:rsidP="002562E6">
      <w:pPr>
        <w:widowControl w:val="0"/>
        <w:autoSpaceDE w:val="0"/>
        <w:autoSpaceDN w:val="0"/>
        <w:adjustRightInd w:val="0"/>
        <w:jc w:val="both"/>
        <w:rPr>
          <w:rFonts w:cs="Arial"/>
          <w:lang w:val="es-ES"/>
        </w:rPr>
      </w:pPr>
    </w:p>
    <w:p w14:paraId="1A6AAC7E" w14:textId="77777777" w:rsidR="002562E6" w:rsidRPr="002562E6" w:rsidRDefault="002562E6" w:rsidP="002562E6">
      <w:pPr>
        <w:numPr>
          <w:ilvl w:val="1"/>
          <w:numId w:val="5"/>
        </w:numPr>
        <w:jc w:val="both"/>
        <w:rPr>
          <w:rFonts w:cs="Arial"/>
        </w:rPr>
      </w:pPr>
      <w:r w:rsidRPr="002562E6">
        <w:rPr>
          <w:rFonts w:cs="Arial"/>
          <w:b/>
          <w:bCs/>
        </w:rPr>
        <w:t xml:space="preserve"> FECHAS (S): </w:t>
      </w:r>
      <w:r w:rsidRPr="002562E6">
        <w:rPr>
          <w:rFonts w:cs="Arial"/>
        </w:rPr>
        <w:t>1818  1833</w:t>
      </w:r>
    </w:p>
    <w:p w14:paraId="09681AB2" w14:textId="77777777" w:rsidR="002562E6" w:rsidRPr="002562E6" w:rsidRDefault="002562E6" w:rsidP="002562E6">
      <w:pPr>
        <w:jc w:val="both"/>
        <w:rPr>
          <w:rFonts w:cs="Arial"/>
        </w:rPr>
      </w:pPr>
    </w:p>
    <w:p w14:paraId="79D4C5A0" w14:textId="77777777" w:rsidR="002562E6" w:rsidRPr="002562E6" w:rsidRDefault="002562E6" w:rsidP="002562E6">
      <w:pPr>
        <w:numPr>
          <w:ilvl w:val="1"/>
          <w:numId w:val="5"/>
        </w:numPr>
        <w:tabs>
          <w:tab w:val="num" w:pos="420"/>
        </w:tabs>
        <w:jc w:val="both"/>
        <w:rPr>
          <w:rFonts w:cs="Arial"/>
          <w:lang w:val="es-ES"/>
        </w:rPr>
      </w:pPr>
      <w:r w:rsidRPr="002562E6">
        <w:rPr>
          <w:rFonts w:cs="Arial"/>
          <w:b/>
          <w:bCs/>
        </w:rPr>
        <w:t xml:space="preserve">NIVEL DE DESCRIPCIÓN: </w:t>
      </w:r>
      <w:r w:rsidRPr="002562E6">
        <w:rPr>
          <w:rFonts w:cs="Arial"/>
        </w:rPr>
        <w:t>Fondo</w:t>
      </w:r>
    </w:p>
    <w:p w14:paraId="72AE7658" w14:textId="77777777" w:rsidR="002562E6" w:rsidRPr="002562E6" w:rsidRDefault="002562E6" w:rsidP="002562E6">
      <w:pPr>
        <w:jc w:val="both"/>
        <w:rPr>
          <w:rFonts w:cs="Arial"/>
          <w:b/>
          <w:bCs/>
        </w:rPr>
      </w:pPr>
    </w:p>
    <w:p w14:paraId="29FF0B7A" w14:textId="77777777" w:rsidR="002562E6" w:rsidRPr="002562E6" w:rsidRDefault="002562E6" w:rsidP="002562E6">
      <w:pPr>
        <w:numPr>
          <w:ilvl w:val="1"/>
          <w:numId w:val="5"/>
        </w:numPr>
        <w:tabs>
          <w:tab w:val="num" w:pos="420"/>
        </w:tabs>
        <w:autoSpaceDE w:val="0"/>
        <w:autoSpaceDN w:val="0"/>
        <w:adjustRightInd w:val="0"/>
        <w:jc w:val="both"/>
        <w:rPr>
          <w:rFonts w:cs="Arial"/>
          <w:lang w:val="es-ES"/>
        </w:rPr>
      </w:pPr>
      <w:r w:rsidRPr="002562E6">
        <w:rPr>
          <w:rFonts w:cs="Arial"/>
          <w:b/>
          <w:lang w:val="es-ES_tradnl"/>
        </w:rPr>
        <w:t>VOLÚMEN Y SOPORTE DE LA UNIDAD DE DESCRIPCIÓN (CANTIDAD, TAMAÑO O DIMENSIONES):</w:t>
      </w:r>
      <w:r w:rsidRPr="002562E6">
        <w:rPr>
          <w:rFonts w:cs="Arial"/>
          <w:b/>
          <w:bCs/>
        </w:rPr>
        <w:t xml:space="preserve"> </w:t>
      </w:r>
      <w:r w:rsidRPr="002562E6">
        <w:rPr>
          <w:rFonts w:cs="Arial"/>
        </w:rPr>
        <w:t>3.30 m. (22 cajas = 1468 unidades documentales)</w:t>
      </w:r>
    </w:p>
    <w:p w14:paraId="38680463" w14:textId="77777777" w:rsidR="002562E6" w:rsidRPr="002562E6" w:rsidRDefault="002562E6" w:rsidP="002562E6">
      <w:pPr>
        <w:autoSpaceDE w:val="0"/>
        <w:autoSpaceDN w:val="0"/>
        <w:adjustRightInd w:val="0"/>
        <w:jc w:val="both"/>
        <w:rPr>
          <w:rFonts w:cs="Arial"/>
        </w:rPr>
      </w:pPr>
    </w:p>
    <w:p w14:paraId="097D253B" w14:textId="77777777" w:rsidR="002562E6" w:rsidRPr="002562E6" w:rsidRDefault="002562E6" w:rsidP="002562E6">
      <w:pPr>
        <w:numPr>
          <w:ilvl w:val="0"/>
          <w:numId w:val="5"/>
        </w:numPr>
        <w:tabs>
          <w:tab w:val="num" w:pos="360"/>
        </w:tabs>
        <w:jc w:val="both"/>
        <w:rPr>
          <w:rFonts w:cs="Arial"/>
          <w:b/>
          <w:bCs/>
        </w:rPr>
      </w:pPr>
      <w:r w:rsidRPr="002562E6">
        <w:rPr>
          <w:rFonts w:cs="Arial"/>
          <w:b/>
          <w:bCs/>
        </w:rPr>
        <w:t>ÁREA DE CONTEXTO</w:t>
      </w:r>
    </w:p>
    <w:p w14:paraId="210A050E" w14:textId="77777777" w:rsidR="002562E6" w:rsidRPr="002562E6" w:rsidRDefault="002562E6" w:rsidP="002562E6">
      <w:pPr>
        <w:jc w:val="both"/>
        <w:rPr>
          <w:rFonts w:cs="Arial"/>
          <w:b/>
          <w:bCs/>
        </w:rPr>
      </w:pPr>
    </w:p>
    <w:p w14:paraId="18709B8B" w14:textId="77777777" w:rsidR="002562E6" w:rsidRPr="002562E6" w:rsidRDefault="002562E6" w:rsidP="002562E6">
      <w:pPr>
        <w:numPr>
          <w:ilvl w:val="1"/>
          <w:numId w:val="5"/>
        </w:numPr>
        <w:ind w:left="284" w:firstLine="0"/>
        <w:jc w:val="both"/>
        <w:rPr>
          <w:rFonts w:cs="Arial"/>
          <w:lang w:val="es-ES"/>
        </w:rPr>
      </w:pPr>
      <w:r w:rsidRPr="002562E6">
        <w:rPr>
          <w:rFonts w:cs="Arial"/>
          <w:b/>
          <w:bCs/>
        </w:rPr>
        <w:t xml:space="preserve">NOMBRE DEL O DE LOS PRODUCTOR (ES) / COLECCIONISTA (S): </w:t>
      </w:r>
      <w:r w:rsidRPr="002562E6">
        <w:rPr>
          <w:rFonts w:cs="Arial"/>
        </w:rPr>
        <w:t>Provincial Independiente</w:t>
      </w:r>
    </w:p>
    <w:p w14:paraId="330BD27A" w14:textId="77777777" w:rsidR="002562E6" w:rsidRPr="002562E6" w:rsidRDefault="002562E6" w:rsidP="002562E6">
      <w:pPr>
        <w:ind w:left="420"/>
        <w:jc w:val="both"/>
        <w:rPr>
          <w:rFonts w:cs="Arial"/>
        </w:rPr>
      </w:pPr>
    </w:p>
    <w:p w14:paraId="679667E3" w14:textId="77777777" w:rsidR="002562E6" w:rsidRPr="002562E6" w:rsidRDefault="002562E6" w:rsidP="002562E6">
      <w:pPr>
        <w:numPr>
          <w:ilvl w:val="1"/>
          <w:numId w:val="5"/>
        </w:numPr>
        <w:autoSpaceDE w:val="0"/>
        <w:autoSpaceDN w:val="0"/>
        <w:ind w:left="284" w:firstLine="0"/>
        <w:jc w:val="both"/>
        <w:rPr>
          <w:rFonts w:eastAsia="Calibri" w:cs="Arial"/>
          <w:lang w:eastAsia="en-US"/>
        </w:rPr>
      </w:pPr>
      <w:r w:rsidRPr="002562E6">
        <w:rPr>
          <w:rFonts w:cs="Arial"/>
          <w:b/>
          <w:bCs/>
        </w:rPr>
        <w:t xml:space="preserve">HISTORIA INSTITUCIONAL / RESEÑA BIOGRÁFICA: </w:t>
      </w:r>
      <w:r w:rsidRPr="002562E6">
        <w:rPr>
          <w:rFonts w:eastAsia="Calibri" w:cs="Arial"/>
          <w:lang w:eastAsia="en-US"/>
        </w:rPr>
        <w:t>Desde mediados del siglo XVI y hasta principios del siglo XIX, Costa Rica como figura de provincia, formaba parte de la Capitanía General de Guatemala, a esta capitanía le pertenecían también gran parte de los territorios de los países centroamericanos de la actualidad y  dependían a su vez de la Corona Española.</w:t>
      </w:r>
    </w:p>
    <w:p w14:paraId="101C59F1" w14:textId="77777777" w:rsidR="002562E6" w:rsidRPr="002562E6" w:rsidRDefault="002562E6" w:rsidP="002562E6">
      <w:pPr>
        <w:autoSpaceDE w:val="0"/>
        <w:autoSpaceDN w:val="0"/>
        <w:jc w:val="both"/>
        <w:rPr>
          <w:rFonts w:eastAsia="Calibri" w:cs="Arial"/>
          <w:lang w:eastAsia="en-US"/>
        </w:rPr>
      </w:pPr>
    </w:p>
    <w:p w14:paraId="207FBBF1" w14:textId="77777777" w:rsidR="00B04A86" w:rsidRDefault="002562E6" w:rsidP="002562E6">
      <w:pPr>
        <w:autoSpaceDE w:val="0"/>
        <w:autoSpaceDN w:val="0"/>
        <w:jc w:val="both"/>
        <w:rPr>
          <w:rFonts w:eastAsia="Calibri" w:cs="Arial"/>
          <w:lang w:eastAsia="en-US"/>
        </w:rPr>
      </w:pPr>
      <w:r w:rsidRPr="002562E6">
        <w:rPr>
          <w:rFonts w:eastAsia="Calibri" w:cs="Arial"/>
          <w:lang w:eastAsia="en-US"/>
        </w:rPr>
        <w:t>Después de lo acontecido durante el proceso de independencia de México desde 1810, las provincias pertenecientes a la Capitanía General de Guatemala comienzan a plantearse la idea de ser libres.</w:t>
      </w:r>
    </w:p>
    <w:p w14:paraId="366A84D8" w14:textId="5F59D5AE" w:rsidR="002562E6" w:rsidRPr="002562E6" w:rsidRDefault="00B04A86" w:rsidP="002562E6">
      <w:pPr>
        <w:autoSpaceDE w:val="0"/>
        <w:autoSpaceDN w:val="0"/>
        <w:jc w:val="both"/>
        <w:rPr>
          <w:rFonts w:eastAsia="Calibri" w:cs="Arial"/>
          <w:lang w:eastAsia="en-US"/>
        </w:rPr>
      </w:pPr>
      <w:r w:rsidRPr="002562E6">
        <w:rPr>
          <w:rFonts w:eastAsia="Calibri" w:cs="Arial"/>
          <w:lang w:eastAsia="en-US"/>
        </w:rPr>
        <w:t xml:space="preserve"> </w:t>
      </w:r>
    </w:p>
    <w:p w14:paraId="2F772724" w14:textId="77777777" w:rsidR="002562E6" w:rsidRPr="002562E6" w:rsidRDefault="002562E6" w:rsidP="002562E6">
      <w:pPr>
        <w:autoSpaceDE w:val="0"/>
        <w:autoSpaceDN w:val="0"/>
        <w:jc w:val="both"/>
        <w:rPr>
          <w:rFonts w:eastAsia="Calibri" w:cs="Arial"/>
          <w:lang w:eastAsia="en-US"/>
        </w:rPr>
      </w:pPr>
      <w:r w:rsidRPr="002562E6">
        <w:rPr>
          <w:rFonts w:eastAsia="Calibri" w:cs="Arial"/>
          <w:lang w:eastAsia="en-US"/>
        </w:rPr>
        <w:t>En octubre de 1821, llega a Costa Rica el acta de independencia de Guatemala junto a la llamada Acta de los Nublados del Día que había sido firmada el 28 de setiembre en León de Nicaragua.  La noticia de la independencia llega a suelo costarricense sin librar batalla alguna, escenario muy diferente al de otros territorios de América, donde el tema de luchas armadas perduró durante un largo periodo.</w:t>
      </w:r>
    </w:p>
    <w:p w14:paraId="09254D4C" w14:textId="77777777" w:rsidR="002562E6" w:rsidRPr="002562E6" w:rsidRDefault="002562E6" w:rsidP="002562E6">
      <w:pPr>
        <w:autoSpaceDE w:val="0"/>
        <w:autoSpaceDN w:val="0"/>
        <w:jc w:val="both"/>
        <w:rPr>
          <w:rFonts w:eastAsia="Calibri" w:cs="Arial"/>
          <w:lang w:eastAsia="en-US"/>
        </w:rPr>
      </w:pPr>
    </w:p>
    <w:p w14:paraId="77131F71" w14:textId="77777777" w:rsidR="002562E6" w:rsidRPr="002562E6" w:rsidRDefault="002562E6" w:rsidP="002562E6">
      <w:pPr>
        <w:autoSpaceDE w:val="0"/>
        <w:autoSpaceDN w:val="0"/>
        <w:jc w:val="both"/>
        <w:rPr>
          <w:rFonts w:eastAsia="Calibri" w:cs="Arial"/>
          <w:lang w:eastAsia="en-US"/>
        </w:rPr>
      </w:pPr>
      <w:r w:rsidRPr="002562E6">
        <w:rPr>
          <w:rFonts w:eastAsia="Calibri" w:cs="Arial"/>
          <w:lang w:eastAsia="en-US"/>
        </w:rPr>
        <w:t>Costa Rica como provincia independiente, tuvo que decidir la manera en la que se iba a organizar, es por esta razón que el ayuntamiento de Cartago invita a las demás poblaciones para que envíen sus legados a fin de decidir el camino a seguir. De este modo La Junta de Legados asume un carácter de asamblea constituyente y el 1 de diciembre de 1821 se redacta y firma el Pacto Social Fundamental Interino de Costa Rica o mejor conocido como Pacto de Concordia, el cual se considera la primera constitución política de Costa Rica.</w:t>
      </w:r>
    </w:p>
    <w:p w14:paraId="33AA3327" w14:textId="77777777" w:rsidR="002562E6" w:rsidRPr="002562E6" w:rsidRDefault="002562E6" w:rsidP="002562E6">
      <w:pPr>
        <w:autoSpaceDE w:val="0"/>
        <w:autoSpaceDN w:val="0"/>
        <w:jc w:val="both"/>
        <w:rPr>
          <w:rFonts w:eastAsia="Calibri" w:cs="Arial"/>
          <w:lang w:eastAsia="en-US"/>
        </w:rPr>
      </w:pPr>
    </w:p>
    <w:p w14:paraId="237937CF" w14:textId="77777777" w:rsidR="002562E6" w:rsidRPr="002562E6" w:rsidRDefault="002562E6" w:rsidP="002562E6">
      <w:pPr>
        <w:jc w:val="both"/>
        <w:rPr>
          <w:rFonts w:eastAsia="Calibri" w:cs="Arial"/>
          <w:lang w:eastAsia="es-CR"/>
        </w:rPr>
      </w:pPr>
      <w:r w:rsidRPr="002562E6">
        <w:rPr>
          <w:rFonts w:eastAsia="Calibri" w:cs="Arial"/>
          <w:lang w:eastAsia="en-US"/>
        </w:rPr>
        <w:t xml:space="preserve">Cuando Costa Rica se convierte en una provincia independiente, surgen conflictos a lo interno, ya que había un grupo que quería aceptar la </w:t>
      </w:r>
      <w:r w:rsidRPr="002562E6">
        <w:rPr>
          <w:rFonts w:eastAsia="Calibri" w:cs="Arial"/>
          <w:lang w:eastAsia="es-CR"/>
        </w:rPr>
        <w:t xml:space="preserve">propuesta de México de unirse al imperio de Agustín de Iturbide y otro grupo con la idea de que se mantuviera libre e independiente.  Este </w:t>
      </w:r>
      <w:r w:rsidRPr="002562E6">
        <w:rPr>
          <w:rFonts w:eastAsia="Calibri" w:cs="Arial"/>
          <w:lang w:eastAsia="es-CR"/>
        </w:rPr>
        <w:lastRenderedPageBreak/>
        <w:t>conflicto dio origen a la primera guerra civil, mejor conocida como la Batalla de Ochomogo.  En este enfrentamiento armado, gana el grupo partidario de mantener a Costa Rica como una provincia independiente, tradicionalmente conocidos como liberales y es posterior a este acontecimiento que se une a la Federación Centroamericana, el tipo de gobierno de la federación era republicano, representativo y federal, y los Estados se llamaron Estados Federados del Centro de América.</w:t>
      </w:r>
    </w:p>
    <w:p w14:paraId="7C5ED577" w14:textId="77777777" w:rsidR="002562E6" w:rsidRPr="002562E6" w:rsidRDefault="002562E6" w:rsidP="002562E6">
      <w:pPr>
        <w:autoSpaceDE w:val="0"/>
        <w:autoSpaceDN w:val="0"/>
        <w:adjustRightInd w:val="0"/>
        <w:jc w:val="both"/>
        <w:rPr>
          <w:rFonts w:cs="Arial"/>
        </w:rPr>
      </w:pPr>
    </w:p>
    <w:p w14:paraId="5D302B31" w14:textId="77777777" w:rsidR="002562E6" w:rsidRPr="002562E6" w:rsidRDefault="002562E6" w:rsidP="002562E6">
      <w:pPr>
        <w:numPr>
          <w:ilvl w:val="1"/>
          <w:numId w:val="5"/>
        </w:numPr>
        <w:ind w:left="284" w:firstLine="0"/>
        <w:jc w:val="both"/>
        <w:rPr>
          <w:rFonts w:cs="Arial"/>
          <w:b/>
          <w:bCs/>
        </w:rPr>
      </w:pPr>
      <w:r w:rsidRPr="002562E6">
        <w:rPr>
          <w:rFonts w:cs="Arial"/>
          <w:b/>
          <w:bCs/>
        </w:rPr>
        <w:t xml:space="preserve">HISTORIA ARCHIVÍSTICA: </w:t>
      </w:r>
      <w:r w:rsidRPr="002562E6">
        <w:rPr>
          <w:rFonts w:cs="Arial"/>
        </w:rPr>
        <w:t>Estos documentos estuvieron ubicados en el archivo del Ayuntamiento de Cartago, no se tiene el dato exacto de la fecha en la que fueron transferidos al Archivo Nacional debido a la antigüedad de los mismos, ni tampoco el momento en el que se organizaron bajo el nombre de Provincial Independiente.</w:t>
      </w:r>
    </w:p>
    <w:p w14:paraId="1BF5E579" w14:textId="77777777" w:rsidR="002562E6" w:rsidRPr="002562E6" w:rsidRDefault="002562E6" w:rsidP="002562E6">
      <w:pPr>
        <w:jc w:val="both"/>
        <w:rPr>
          <w:rFonts w:cs="Arial"/>
          <w:lang w:val="es-ES"/>
        </w:rPr>
      </w:pPr>
    </w:p>
    <w:p w14:paraId="63B16F3E" w14:textId="31AC6592" w:rsidR="002562E6" w:rsidRPr="00B04A86" w:rsidRDefault="002562E6" w:rsidP="00DE3CCF">
      <w:pPr>
        <w:numPr>
          <w:ilvl w:val="1"/>
          <w:numId w:val="5"/>
        </w:numPr>
        <w:tabs>
          <w:tab w:val="num" w:pos="420"/>
        </w:tabs>
        <w:ind w:left="993"/>
        <w:jc w:val="both"/>
        <w:rPr>
          <w:rFonts w:cs="Arial"/>
          <w:b/>
          <w:bCs/>
        </w:rPr>
      </w:pPr>
      <w:r w:rsidRPr="00B04A86">
        <w:rPr>
          <w:rFonts w:cs="Arial"/>
          <w:b/>
          <w:bCs/>
        </w:rPr>
        <w:t xml:space="preserve">FORMA DE INGRESO: </w:t>
      </w:r>
      <w:r w:rsidRPr="00B04A86">
        <w:rPr>
          <w:rFonts w:cs="Arial"/>
        </w:rPr>
        <w:t>Transferencia</w:t>
      </w:r>
    </w:p>
    <w:p w14:paraId="3DC14DC2" w14:textId="77777777" w:rsidR="00B04A86" w:rsidRPr="002562E6" w:rsidRDefault="00B04A86" w:rsidP="00B04A86">
      <w:pPr>
        <w:ind w:left="993"/>
        <w:jc w:val="both"/>
        <w:rPr>
          <w:rFonts w:cs="Arial"/>
          <w:b/>
          <w:bCs/>
        </w:rPr>
      </w:pPr>
    </w:p>
    <w:p w14:paraId="2905872D" w14:textId="77777777" w:rsidR="002562E6" w:rsidRPr="002562E6" w:rsidRDefault="002562E6" w:rsidP="002562E6">
      <w:pPr>
        <w:numPr>
          <w:ilvl w:val="0"/>
          <w:numId w:val="5"/>
        </w:numPr>
        <w:tabs>
          <w:tab w:val="num" w:pos="360"/>
        </w:tabs>
        <w:ind w:left="709"/>
        <w:jc w:val="both"/>
        <w:rPr>
          <w:rFonts w:cs="Arial"/>
          <w:b/>
          <w:bCs/>
        </w:rPr>
      </w:pPr>
      <w:r w:rsidRPr="002562E6">
        <w:rPr>
          <w:rFonts w:cs="Arial"/>
          <w:b/>
          <w:bCs/>
        </w:rPr>
        <w:t>ÁREA DE CONTENIDO Y ESTRUCTURA</w:t>
      </w:r>
    </w:p>
    <w:p w14:paraId="541F812B" w14:textId="77777777" w:rsidR="002562E6" w:rsidRPr="002562E6" w:rsidRDefault="002562E6" w:rsidP="002562E6">
      <w:pPr>
        <w:jc w:val="both"/>
        <w:rPr>
          <w:rFonts w:cs="Arial"/>
        </w:rPr>
      </w:pPr>
    </w:p>
    <w:p w14:paraId="57AB34D2" w14:textId="77777777" w:rsidR="002562E6" w:rsidRPr="002562E6" w:rsidRDefault="002562E6" w:rsidP="002562E6">
      <w:pPr>
        <w:numPr>
          <w:ilvl w:val="1"/>
          <w:numId w:val="5"/>
        </w:numPr>
        <w:ind w:left="284" w:firstLine="0"/>
        <w:jc w:val="both"/>
        <w:rPr>
          <w:rFonts w:cs="Arial"/>
          <w:b/>
          <w:bCs/>
        </w:rPr>
      </w:pPr>
      <w:r w:rsidRPr="002562E6">
        <w:rPr>
          <w:rFonts w:cs="Arial"/>
          <w:b/>
          <w:bCs/>
        </w:rPr>
        <w:t xml:space="preserve">ALCANCE Y CONTENIDO: </w:t>
      </w:r>
      <w:r w:rsidRPr="002562E6">
        <w:rPr>
          <w:rFonts w:cs="Arial"/>
        </w:rPr>
        <w:t>Contiene Acta de los "Nublados del Día", Pacto Social Fundamental Interino (Pacto de Concordia), factorías de tabaco, contrabando, insurrección, milicias. Los tipos documentales predominantes son actas, cartas, causas criminales, padrones, manifiestos, certificaciones, expedientes e informes.</w:t>
      </w:r>
    </w:p>
    <w:p w14:paraId="5E165333" w14:textId="77777777" w:rsidR="002562E6" w:rsidRPr="002562E6" w:rsidRDefault="002562E6" w:rsidP="002562E6">
      <w:pPr>
        <w:jc w:val="both"/>
        <w:rPr>
          <w:rFonts w:cs="Arial"/>
          <w:lang w:val="es-ES"/>
        </w:rPr>
      </w:pPr>
    </w:p>
    <w:p w14:paraId="1982AF7C" w14:textId="77777777" w:rsidR="002562E6" w:rsidRPr="002562E6" w:rsidRDefault="002562E6" w:rsidP="002562E6">
      <w:pPr>
        <w:numPr>
          <w:ilvl w:val="1"/>
          <w:numId w:val="5"/>
        </w:numPr>
        <w:jc w:val="both"/>
        <w:rPr>
          <w:rFonts w:cs="Arial"/>
        </w:rPr>
      </w:pPr>
      <w:r w:rsidRPr="002562E6">
        <w:rPr>
          <w:rFonts w:cs="Arial"/>
          <w:b/>
          <w:bCs/>
        </w:rPr>
        <w:t xml:space="preserve">VALORACIÓN, SELECCIÓN Y ELIMINACIÓN: </w:t>
      </w:r>
      <w:r w:rsidRPr="002562E6">
        <w:rPr>
          <w:rFonts w:cs="Arial"/>
        </w:rPr>
        <w:t>Conservación permanente.  Valorada de conformidad con la Ley 3661 del 10 de enero de 1966.</w:t>
      </w:r>
    </w:p>
    <w:p w14:paraId="4592E75C" w14:textId="77777777" w:rsidR="002562E6" w:rsidRPr="002562E6" w:rsidRDefault="002562E6" w:rsidP="002562E6">
      <w:pPr>
        <w:tabs>
          <w:tab w:val="num" w:pos="0"/>
        </w:tabs>
        <w:jc w:val="both"/>
        <w:rPr>
          <w:rFonts w:cs="Arial"/>
        </w:rPr>
      </w:pPr>
    </w:p>
    <w:p w14:paraId="2FC2A0EB" w14:textId="77777777" w:rsidR="002562E6" w:rsidRPr="002562E6" w:rsidRDefault="002562E6" w:rsidP="002562E6">
      <w:pPr>
        <w:numPr>
          <w:ilvl w:val="1"/>
          <w:numId w:val="5"/>
        </w:numPr>
        <w:tabs>
          <w:tab w:val="num" w:pos="420"/>
        </w:tabs>
        <w:jc w:val="both"/>
        <w:rPr>
          <w:rFonts w:cs="Arial"/>
        </w:rPr>
      </w:pPr>
      <w:r w:rsidRPr="002562E6">
        <w:rPr>
          <w:rFonts w:cs="Arial"/>
          <w:b/>
          <w:bCs/>
        </w:rPr>
        <w:t xml:space="preserve">NUEVOS INGRESOS: </w:t>
      </w:r>
      <w:r w:rsidRPr="002562E6">
        <w:rPr>
          <w:rFonts w:cs="Arial"/>
        </w:rPr>
        <w:t>Fondo Cerrado</w:t>
      </w:r>
    </w:p>
    <w:p w14:paraId="58A431CF" w14:textId="77777777" w:rsidR="002562E6" w:rsidRPr="002562E6" w:rsidRDefault="002562E6" w:rsidP="002562E6">
      <w:pPr>
        <w:jc w:val="both"/>
        <w:rPr>
          <w:rFonts w:cs="Arial"/>
        </w:rPr>
      </w:pPr>
    </w:p>
    <w:p w14:paraId="2E17B541" w14:textId="77777777" w:rsidR="002562E6" w:rsidRPr="002562E6" w:rsidRDefault="002562E6" w:rsidP="002562E6">
      <w:pPr>
        <w:numPr>
          <w:ilvl w:val="1"/>
          <w:numId w:val="5"/>
        </w:numPr>
        <w:jc w:val="both"/>
        <w:rPr>
          <w:rFonts w:cs="Arial"/>
        </w:rPr>
      </w:pPr>
      <w:r w:rsidRPr="002562E6">
        <w:rPr>
          <w:rFonts w:cs="Arial"/>
          <w:b/>
          <w:bCs/>
        </w:rPr>
        <w:t xml:space="preserve">ORGANIZACIÓN: </w:t>
      </w:r>
      <w:r w:rsidRPr="002562E6">
        <w:rPr>
          <w:rFonts w:cs="Arial"/>
        </w:rPr>
        <w:t xml:space="preserve">Documentos con ordenación numérica consecutiva. La estructura interna del fondo es la siguiente: </w:t>
      </w:r>
    </w:p>
    <w:p w14:paraId="5E915D65" w14:textId="77777777" w:rsidR="002562E6" w:rsidRPr="002562E6" w:rsidRDefault="002562E6" w:rsidP="002562E6">
      <w:pPr>
        <w:autoSpaceDE w:val="0"/>
        <w:autoSpaceDN w:val="0"/>
        <w:adjustRightInd w:val="0"/>
        <w:jc w:val="both"/>
        <w:rPr>
          <w:rFonts w:cs="Arial"/>
          <w:b/>
          <w:bCs/>
          <w:lang w:val="es-ES"/>
        </w:rPr>
      </w:pPr>
    </w:p>
    <w:p w14:paraId="09B8E348" w14:textId="77777777" w:rsidR="002562E6" w:rsidRPr="002562E6" w:rsidRDefault="002562E6" w:rsidP="002562E6">
      <w:pPr>
        <w:autoSpaceDE w:val="0"/>
        <w:autoSpaceDN w:val="0"/>
        <w:adjustRightInd w:val="0"/>
        <w:jc w:val="center"/>
        <w:rPr>
          <w:rFonts w:cs="Arial"/>
          <w:b/>
          <w:bCs/>
        </w:rPr>
      </w:pPr>
      <w:r w:rsidRPr="002562E6">
        <w:rPr>
          <w:rFonts w:cs="Arial"/>
          <w:b/>
          <w:bCs/>
        </w:rPr>
        <w:t>CUADRO DE CLASIFICACIÓN DEL ARCHIVO HISTÓRICO</w:t>
      </w:r>
    </w:p>
    <w:p w14:paraId="14F3F0BD" w14:textId="77777777" w:rsidR="002562E6" w:rsidRDefault="002562E6" w:rsidP="002562E6">
      <w:pPr>
        <w:keepNext/>
        <w:autoSpaceDE w:val="0"/>
        <w:autoSpaceDN w:val="0"/>
        <w:adjustRightInd w:val="0"/>
        <w:jc w:val="center"/>
        <w:outlineLvl w:val="1"/>
        <w:rPr>
          <w:rFonts w:cs="Arial"/>
          <w:b/>
          <w:bCs/>
        </w:rPr>
      </w:pPr>
      <w:r w:rsidRPr="002562E6">
        <w:rPr>
          <w:rFonts w:cs="Arial"/>
          <w:b/>
          <w:bCs/>
        </w:rPr>
        <w:t>FONDOS PÚBLICOS</w:t>
      </w:r>
    </w:p>
    <w:p w14:paraId="0D19D1FA" w14:textId="77777777" w:rsidR="00B04A86" w:rsidRPr="002562E6" w:rsidRDefault="00B04A86" w:rsidP="002562E6">
      <w:pPr>
        <w:keepNext/>
        <w:autoSpaceDE w:val="0"/>
        <w:autoSpaceDN w:val="0"/>
        <w:adjustRightInd w:val="0"/>
        <w:jc w:val="center"/>
        <w:outlineLvl w:val="1"/>
        <w:rPr>
          <w:rFonts w:cs="Arial"/>
          <w:b/>
          <w:bCs/>
        </w:rPr>
      </w:pPr>
    </w:p>
    <w:tbl>
      <w:tblPr>
        <w:tblStyle w:val="Tablaconcuadrcula"/>
        <w:tblW w:w="9389" w:type="dxa"/>
        <w:jc w:val="center"/>
        <w:tblLook w:val="04A0" w:firstRow="1" w:lastRow="0" w:firstColumn="1" w:lastColumn="0" w:noHBand="0" w:noVBand="1"/>
        <w:tblCaption w:val="Organización"/>
        <w:tblDescription w:val="Se muestra la organización del fondo en el Cuadro de Clasificación del Archivo Histórico"/>
      </w:tblPr>
      <w:tblGrid>
        <w:gridCol w:w="1612"/>
        <w:gridCol w:w="1243"/>
        <w:gridCol w:w="1604"/>
        <w:gridCol w:w="1655"/>
        <w:gridCol w:w="1884"/>
        <w:gridCol w:w="1391"/>
      </w:tblGrid>
      <w:tr w:rsidR="002562E6" w:rsidRPr="002562E6" w14:paraId="71B9E3B9" w14:textId="77777777" w:rsidTr="00B04A86">
        <w:trPr>
          <w:tblHeader/>
          <w:jc w:val="center"/>
        </w:trPr>
        <w:tc>
          <w:tcPr>
            <w:tcW w:w="1366" w:type="dxa"/>
            <w:hideMark/>
          </w:tcPr>
          <w:p w14:paraId="6D67433F" w14:textId="77777777" w:rsidR="002562E6" w:rsidRPr="002562E6" w:rsidRDefault="002562E6" w:rsidP="00B04A86">
            <w:pPr>
              <w:jc w:val="center"/>
              <w:rPr>
                <w:rFonts w:cs="Arial"/>
                <w:b/>
                <w:bCs/>
                <w:lang w:val="es-ES"/>
              </w:rPr>
            </w:pPr>
            <w:r w:rsidRPr="002562E6">
              <w:rPr>
                <w:rFonts w:cs="Arial"/>
                <w:b/>
                <w:bCs/>
              </w:rPr>
              <w:t>FONDO</w:t>
            </w:r>
          </w:p>
          <w:p w14:paraId="2D8BB7C2" w14:textId="77777777" w:rsidR="002562E6" w:rsidRPr="002562E6" w:rsidRDefault="002562E6" w:rsidP="00B04A86">
            <w:pPr>
              <w:jc w:val="center"/>
              <w:rPr>
                <w:rFonts w:cs="Arial"/>
                <w:b/>
                <w:bCs/>
                <w:lang w:val="es-ES"/>
              </w:rPr>
            </w:pPr>
            <w:r w:rsidRPr="002562E6">
              <w:rPr>
                <w:rFonts w:cs="Arial"/>
                <w:b/>
                <w:bCs/>
              </w:rPr>
              <w:t>NIVEL I</w:t>
            </w:r>
          </w:p>
        </w:tc>
        <w:tc>
          <w:tcPr>
            <w:tcW w:w="1279" w:type="dxa"/>
            <w:hideMark/>
          </w:tcPr>
          <w:p w14:paraId="6415484B" w14:textId="77777777" w:rsidR="002562E6" w:rsidRPr="002562E6" w:rsidRDefault="002562E6" w:rsidP="00B04A86">
            <w:pPr>
              <w:jc w:val="center"/>
              <w:rPr>
                <w:rFonts w:cs="Arial"/>
                <w:b/>
                <w:bCs/>
                <w:lang w:val="es-ES"/>
              </w:rPr>
            </w:pPr>
            <w:r w:rsidRPr="002562E6">
              <w:rPr>
                <w:rFonts w:cs="Arial"/>
                <w:b/>
                <w:bCs/>
              </w:rPr>
              <w:t>FONDO NIVEL II</w:t>
            </w:r>
          </w:p>
        </w:tc>
        <w:tc>
          <w:tcPr>
            <w:tcW w:w="1624" w:type="dxa"/>
            <w:hideMark/>
          </w:tcPr>
          <w:p w14:paraId="1F8355A4" w14:textId="77777777" w:rsidR="002562E6" w:rsidRPr="002562E6" w:rsidRDefault="002562E6" w:rsidP="00B04A86">
            <w:pPr>
              <w:jc w:val="center"/>
              <w:rPr>
                <w:rFonts w:cs="Arial"/>
                <w:b/>
                <w:bCs/>
                <w:lang w:val="es-ES"/>
              </w:rPr>
            </w:pPr>
            <w:r w:rsidRPr="002562E6">
              <w:rPr>
                <w:rFonts w:cs="Arial"/>
                <w:b/>
                <w:bCs/>
              </w:rPr>
              <w:t>SUBFONDO I</w:t>
            </w:r>
          </w:p>
        </w:tc>
        <w:tc>
          <w:tcPr>
            <w:tcW w:w="1683" w:type="dxa"/>
            <w:hideMark/>
          </w:tcPr>
          <w:p w14:paraId="0C7939BE" w14:textId="38785541" w:rsidR="002562E6" w:rsidRPr="002562E6" w:rsidRDefault="00B04A86" w:rsidP="00B04A86">
            <w:pPr>
              <w:keepNext/>
              <w:jc w:val="center"/>
              <w:outlineLvl w:val="2"/>
              <w:rPr>
                <w:rFonts w:cs="Arial"/>
                <w:b/>
                <w:bCs/>
                <w:lang w:val="es-ES"/>
              </w:rPr>
            </w:pPr>
            <w:r>
              <w:rPr>
                <w:rFonts w:cs="Arial"/>
                <w:b/>
                <w:bCs/>
              </w:rPr>
              <w:t>S</w:t>
            </w:r>
            <w:r w:rsidR="002562E6" w:rsidRPr="002562E6">
              <w:rPr>
                <w:rFonts w:cs="Arial"/>
                <w:b/>
                <w:bCs/>
              </w:rPr>
              <w:t>UBFONDO II</w:t>
            </w:r>
          </w:p>
        </w:tc>
        <w:tc>
          <w:tcPr>
            <w:tcW w:w="2038" w:type="dxa"/>
            <w:hideMark/>
          </w:tcPr>
          <w:p w14:paraId="21A8D43D" w14:textId="77777777" w:rsidR="002562E6" w:rsidRPr="002562E6" w:rsidRDefault="002562E6" w:rsidP="00B04A86">
            <w:pPr>
              <w:jc w:val="center"/>
              <w:rPr>
                <w:rFonts w:cs="Arial"/>
                <w:b/>
                <w:bCs/>
                <w:lang w:val="es-ES"/>
              </w:rPr>
            </w:pPr>
            <w:r w:rsidRPr="002562E6">
              <w:rPr>
                <w:rFonts w:cs="Arial"/>
                <w:b/>
                <w:bCs/>
              </w:rPr>
              <w:t>SERIE</w:t>
            </w:r>
          </w:p>
        </w:tc>
        <w:tc>
          <w:tcPr>
            <w:tcW w:w="1399" w:type="dxa"/>
            <w:hideMark/>
          </w:tcPr>
          <w:p w14:paraId="64E2F410" w14:textId="77777777" w:rsidR="002562E6" w:rsidRPr="002562E6" w:rsidRDefault="002562E6" w:rsidP="00B04A86">
            <w:pPr>
              <w:jc w:val="center"/>
              <w:rPr>
                <w:rFonts w:cs="Arial"/>
                <w:b/>
                <w:bCs/>
                <w:lang w:val="es-ES"/>
              </w:rPr>
            </w:pPr>
            <w:r w:rsidRPr="002562E6">
              <w:rPr>
                <w:rFonts w:cs="Arial"/>
                <w:b/>
                <w:bCs/>
              </w:rPr>
              <w:t>SUBSERIE</w:t>
            </w:r>
          </w:p>
        </w:tc>
      </w:tr>
      <w:tr w:rsidR="002562E6" w:rsidRPr="002562E6" w14:paraId="316652F0" w14:textId="77777777" w:rsidTr="00B04A86">
        <w:trPr>
          <w:trHeight w:val="543"/>
          <w:jc w:val="center"/>
        </w:trPr>
        <w:tc>
          <w:tcPr>
            <w:tcW w:w="1366" w:type="dxa"/>
            <w:hideMark/>
          </w:tcPr>
          <w:p w14:paraId="03622F37" w14:textId="77777777" w:rsidR="002562E6" w:rsidRPr="002562E6" w:rsidRDefault="002562E6" w:rsidP="002562E6">
            <w:pPr>
              <w:jc w:val="both"/>
              <w:rPr>
                <w:rFonts w:cs="Arial"/>
                <w:b/>
                <w:bCs/>
                <w:lang w:val="es-ES"/>
              </w:rPr>
            </w:pPr>
            <w:r w:rsidRPr="002562E6">
              <w:rPr>
                <w:rFonts w:cs="Arial"/>
                <w:color w:val="000000"/>
              </w:rPr>
              <w:t>Provincial Independiente (PI)</w:t>
            </w:r>
          </w:p>
        </w:tc>
        <w:tc>
          <w:tcPr>
            <w:tcW w:w="1279" w:type="dxa"/>
          </w:tcPr>
          <w:p w14:paraId="68B9FFF5" w14:textId="77777777" w:rsidR="002562E6" w:rsidRPr="002562E6" w:rsidRDefault="002562E6" w:rsidP="002562E6">
            <w:pPr>
              <w:jc w:val="both"/>
              <w:rPr>
                <w:rFonts w:cs="Arial"/>
                <w:b/>
                <w:bCs/>
                <w:lang w:val="es-ES"/>
              </w:rPr>
            </w:pPr>
          </w:p>
        </w:tc>
        <w:tc>
          <w:tcPr>
            <w:tcW w:w="1624" w:type="dxa"/>
          </w:tcPr>
          <w:p w14:paraId="429D55EF" w14:textId="77777777" w:rsidR="002562E6" w:rsidRPr="002562E6" w:rsidRDefault="002562E6" w:rsidP="002562E6">
            <w:pPr>
              <w:jc w:val="both"/>
              <w:rPr>
                <w:rFonts w:cs="Arial"/>
                <w:b/>
                <w:bCs/>
                <w:lang w:val="es-ES"/>
              </w:rPr>
            </w:pPr>
          </w:p>
        </w:tc>
        <w:tc>
          <w:tcPr>
            <w:tcW w:w="1683" w:type="dxa"/>
          </w:tcPr>
          <w:p w14:paraId="28F69C4D" w14:textId="77777777" w:rsidR="002562E6" w:rsidRPr="002562E6" w:rsidRDefault="002562E6" w:rsidP="002562E6">
            <w:pPr>
              <w:jc w:val="both"/>
              <w:rPr>
                <w:rFonts w:cs="Arial"/>
                <w:b/>
                <w:bCs/>
                <w:lang w:val="es-ES"/>
              </w:rPr>
            </w:pPr>
          </w:p>
        </w:tc>
        <w:tc>
          <w:tcPr>
            <w:tcW w:w="2038" w:type="dxa"/>
          </w:tcPr>
          <w:p w14:paraId="17D6EDB9" w14:textId="77777777" w:rsidR="002562E6" w:rsidRPr="002562E6" w:rsidRDefault="002562E6" w:rsidP="002562E6">
            <w:pPr>
              <w:jc w:val="both"/>
              <w:rPr>
                <w:rFonts w:cs="Arial"/>
                <w:color w:val="FF0000"/>
                <w:lang w:val="es-ES"/>
              </w:rPr>
            </w:pPr>
          </w:p>
        </w:tc>
        <w:tc>
          <w:tcPr>
            <w:tcW w:w="1399" w:type="dxa"/>
          </w:tcPr>
          <w:p w14:paraId="2B6A8B14" w14:textId="77777777" w:rsidR="002562E6" w:rsidRPr="002562E6" w:rsidRDefault="002562E6" w:rsidP="002562E6">
            <w:pPr>
              <w:jc w:val="both"/>
              <w:rPr>
                <w:rFonts w:cs="Arial"/>
                <w:b/>
                <w:bCs/>
                <w:lang w:val="es-ES"/>
              </w:rPr>
            </w:pPr>
          </w:p>
        </w:tc>
      </w:tr>
    </w:tbl>
    <w:p w14:paraId="3D887E68" w14:textId="77777777" w:rsidR="002562E6" w:rsidRPr="002562E6" w:rsidRDefault="002562E6" w:rsidP="002562E6">
      <w:pPr>
        <w:jc w:val="both"/>
        <w:rPr>
          <w:rFonts w:cs="Arial"/>
          <w:b/>
          <w:bCs/>
          <w:lang w:val="es-ES"/>
        </w:rPr>
      </w:pPr>
    </w:p>
    <w:p w14:paraId="38661E9E" w14:textId="77777777" w:rsidR="002562E6" w:rsidRPr="002562E6" w:rsidRDefault="002562E6" w:rsidP="002562E6">
      <w:pPr>
        <w:jc w:val="both"/>
        <w:rPr>
          <w:rFonts w:cs="Arial"/>
        </w:rPr>
      </w:pPr>
    </w:p>
    <w:p w14:paraId="40B16E23" w14:textId="77777777" w:rsidR="002562E6" w:rsidRPr="002562E6" w:rsidRDefault="002562E6" w:rsidP="002562E6">
      <w:pPr>
        <w:jc w:val="both"/>
        <w:rPr>
          <w:rFonts w:cs="Arial"/>
          <w:b/>
          <w:bCs/>
        </w:rPr>
      </w:pPr>
      <w:r w:rsidRPr="002562E6">
        <w:rPr>
          <w:rFonts w:cs="Arial"/>
          <w:b/>
          <w:bCs/>
        </w:rPr>
        <w:t>4. ÁREA DE CONDICIONES DE ACCESO Y UTILIZACIÓN</w:t>
      </w:r>
    </w:p>
    <w:p w14:paraId="71DB0D47" w14:textId="77777777" w:rsidR="002562E6" w:rsidRPr="002562E6" w:rsidRDefault="002562E6" w:rsidP="002562E6">
      <w:pPr>
        <w:jc w:val="both"/>
        <w:rPr>
          <w:rFonts w:cs="Arial"/>
        </w:rPr>
      </w:pPr>
    </w:p>
    <w:p w14:paraId="7B995174" w14:textId="77777777" w:rsidR="002562E6" w:rsidRPr="002562E6" w:rsidRDefault="002562E6" w:rsidP="002562E6">
      <w:pPr>
        <w:numPr>
          <w:ilvl w:val="1"/>
          <w:numId w:val="6"/>
        </w:numPr>
        <w:jc w:val="both"/>
        <w:rPr>
          <w:rFonts w:cs="Arial"/>
        </w:rPr>
      </w:pPr>
      <w:r w:rsidRPr="002562E6">
        <w:rPr>
          <w:rFonts w:cs="Arial"/>
          <w:b/>
          <w:bCs/>
        </w:rPr>
        <w:t xml:space="preserve">CONDICIONES DE ACCESO: </w:t>
      </w:r>
      <w:r w:rsidRPr="002562E6">
        <w:rPr>
          <w:rFonts w:cs="Arial"/>
        </w:rPr>
        <w:t>Libre</w:t>
      </w:r>
    </w:p>
    <w:p w14:paraId="43D6C84D" w14:textId="77777777" w:rsidR="002562E6" w:rsidRPr="002562E6" w:rsidRDefault="002562E6" w:rsidP="002562E6">
      <w:pPr>
        <w:jc w:val="both"/>
        <w:rPr>
          <w:rFonts w:cs="Arial"/>
        </w:rPr>
      </w:pPr>
    </w:p>
    <w:p w14:paraId="21CF00E0" w14:textId="77777777" w:rsidR="002562E6" w:rsidRPr="002562E6" w:rsidRDefault="002562E6" w:rsidP="002562E6">
      <w:pPr>
        <w:numPr>
          <w:ilvl w:val="1"/>
          <w:numId w:val="6"/>
        </w:numPr>
        <w:ind w:left="0" w:firstLine="0"/>
        <w:jc w:val="both"/>
        <w:rPr>
          <w:rFonts w:cs="Arial"/>
        </w:rPr>
      </w:pPr>
      <w:r w:rsidRPr="002562E6">
        <w:rPr>
          <w:rFonts w:cs="Arial"/>
          <w:b/>
          <w:bCs/>
        </w:rPr>
        <w:t xml:space="preserve">CONDICIONES DE REPRODUCCIÓN: </w:t>
      </w:r>
      <w:bookmarkStart w:id="0" w:name="OLE_LINK3"/>
      <w:r w:rsidRPr="002562E6">
        <w:rPr>
          <w:rFonts w:cs="Arial"/>
          <w:bCs/>
        </w:rPr>
        <w:t xml:space="preserve">Solamente </w:t>
      </w:r>
      <w:r w:rsidRPr="002562E6">
        <w:rPr>
          <w:rFonts w:cs="Arial"/>
          <w:lang w:val="es-ES_tradnl"/>
        </w:rPr>
        <w:t>mediante digitalización según lo establecido en la resolución</w:t>
      </w:r>
      <w:bookmarkEnd w:id="0"/>
      <w:r w:rsidRPr="002562E6">
        <w:rPr>
          <w:rFonts w:cs="Arial"/>
          <w:lang w:val="es-ES_tradnl"/>
        </w:rPr>
        <w:t xml:space="preserve"> DG-01-2007 del 14 de marzo del 2007, sobre </w:t>
      </w:r>
      <w:r w:rsidRPr="002562E6">
        <w:rPr>
          <w:rFonts w:cs="Arial"/>
        </w:rPr>
        <w:t>Restricción de reproducción de colecciones Complementario Colonial y Provincial Independiente.</w:t>
      </w:r>
    </w:p>
    <w:p w14:paraId="1D614F1E" w14:textId="77777777" w:rsidR="002562E6" w:rsidRPr="002562E6" w:rsidRDefault="002562E6" w:rsidP="002562E6">
      <w:pPr>
        <w:jc w:val="both"/>
        <w:rPr>
          <w:rFonts w:cs="Arial"/>
        </w:rPr>
      </w:pPr>
    </w:p>
    <w:p w14:paraId="3924FF26" w14:textId="77777777" w:rsidR="002562E6" w:rsidRPr="002562E6" w:rsidRDefault="002562E6" w:rsidP="002562E6">
      <w:pPr>
        <w:numPr>
          <w:ilvl w:val="1"/>
          <w:numId w:val="6"/>
        </w:numPr>
        <w:tabs>
          <w:tab w:val="num" w:pos="420"/>
        </w:tabs>
        <w:jc w:val="both"/>
        <w:rPr>
          <w:rFonts w:cs="Arial"/>
        </w:rPr>
      </w:pPr>
      <w:r w:rsidRPr="002562E6">
        <w:rPr>
          <w:rFonts w:cs="Arial"/>
          <w:b/>
          <w:bCs/>
        </w:rPr>
        <w:t xml:space="preserve">LENGUA / ESCRITURA (S) DE LOS DOCUMENTOS: </w:t>
      </w:r>
      <w:r w:rsidRPr="002562E6">
        <w:rPr>
          <w:rFonts w:cs="Arial"/>
        </w:rPr>
        <w:t>Español</w:t>
      </w:r>
    </w:p>
    <w:p w14:paraId="5B5D390F" w14:textId="77777777" w:rsidR="002562E6" w:rsidRPr="002562E6" w:rsidRDefault="002562E6" w:rsidP="002562E6">
      <w:pPr>
        <w:jc w:val="both"/>
        <w:rPr>
          <w:rFonts w:cs="Arial"/>
        </w:rPr>
      </w:pPr>
    </w:p>
    <w:p w14:paraId="56A4157D" w14:textId="77777777" w:rsidR="00B04A86" w:rsidRDefault="002562E6" w:rsidP="00B04A86">
      <w:pPr>
        <w:numPr>
          <w:ilvl w:val="1"/>
          <w:numId w:val="6"/>
        </w:numPr>
        <w:tabs>
          <w:tab w:val="num" w:pos="420"/>
        </w:tabs>
        <w:jc w:val="both"/>
        <w:rPr>
          <w:rFonts w:cs="Arial"/>
        </w:rPr>
      </w:pPr>
      <w:r w:rsidRPr="002562E6">
        <w:rPr>
          <w:rFonts w:cs="Arial"/>
          <w:b/>
          <w:bCs/>
        </w:rPr>
        <w:t>CARACTERÍSTICAS FÍSICAS Y REQUISITOS TÉCNICOS:</w:t>
      </w:r>
      <w:r w:rsidRPr="002562E6">
        <w:rPr>
          <w:rFonts w:cs="Arial"/>
        </w:rPr>
        <w:t xml:space="preserve"> En buen estado de conservación.</w:t>
      </w:r>
    </w:p>
    <w:p w14:paraId="43C47C3A" w14:textId="6FD92D7B" w:rsidR="002562E6" w:rsidRPr="002562E6" w:rsidRDefault="002562E6" w:rsidP="00B04A86">
      <w:pPr>
        <w:ind w:left="720"/>
        <w:jc w:val="both"/>
        <w:rPr>
          <w:rFonts w:cs="Arial"/>
        </w:rPr>
      </w:pPr>
      <w:r w:rsidRPr="002562E6">
        <w:rPr>
          <w:rFonts w:cs="Arial"/>
        </w:rPr>
        <w:t xml:space="preserve"> </w:t>
      </w:r>
    </w:p>
    <w:p w14:paraId="63DE9901" w14:textId="77777777" w:rsidR="002562E6" w:rsidRPr="002562E6" w:rsidRDefault="002562E6" w:rsidP="002562E6">
      <w:pPr>
        <w:numPr>
          <w:ilvl w:val="1"/>
          <w:numId w:val="6"/>
        </w:numPr>
        <w:tabs>
          <w:tab w:val="num" w:pos="420"/>
        </w:tabs>
        <w:jc w:val="both"/>
        <w:rPr>
          <w:rFonts w:cs="Arial"/>
        </w:rPr>
      </w:pPr>
      <w:r w:rsidRPr="002562E6">
        <w:rPr>
          <w:rFonts w:cs="Arial"/>
          <w:b/>
          <w:bCs/>
        </w:rPr>
        <w:t xml:space="preserve">INSTRUMENTOS DE DESCRIPCIÓN: </w:t>
      </w:r>
    </w:p>
    <w:p w14:paraId="6DA0B6B1" w14:textId="77777777" w:rsidR="002562E6" w:rsidRPr="002562E6" w:rsidRDefault="002562E6" w:rsidP="002562E6">
      <w:pPr>
        <w:numPr>
          <w:ilvl w:val="0"/>
          <w:numId w:val="7"/>
        </w:numPr>
        <w:jc w:val="both"/>
        <w:rPr>
          <w:rFonts w:cs="Arial"/>
          <w:lang w:val="es-ES"/>
        </w:rPr>
      </w:pPr>
      <w:r w:rsidRPr="002562E6">
        <w:rPr>
          <w:rFonts w:cs="Arial"/>
        </w:rPr>
        <w:t>Fichero ordenado cronológica y</w:t>
      </w:r>
      <w:r w:rsidRPr="002562E6">
        <w:rPr>
          <w:rFonts w:cs="Arial"/>
          <w:b/>
          <w:bCs/>
        </w:rPr>
        <w:t xml:space="preserve"> </w:t>
      </w:r>
      <w:r w:rsidRPr="002562E6">
        <w:rPr>
          <w:rFonts w:cs="Arial"/>
        </w:rPr>
        <w:t>alfabéticamente</w:t>
      </w:r>
    </w:p>
    <w:p w14:paraId="498DA3C1" w14:textId="77777777" w:rsidR="002562E6" w:rsidRPr="002562E6" w:rsidRDefault="002562E6" w:rsidP="002562E6">
      <w:pPr>
        <w:numPr>
          <w:ilvl w:val="0"/>
          <w:numId w:val="7"/>
        </w:numPr>
        <w:jc w:val="both"/>
        <w:rPr>
          <w:rFonts w:cs="Arial"/>
        </w:rPr>
      </w:pPr>
      <w:r w:rsidRPr="002562E6">
        <w:rPr>
          <w:rFonts w:cs="Arial"/>
        </w:rPr>
        <w:t>Base de datos.</w:t>
      </w:r>
    </w:p>
    <w:p w14:paraId="59CFFBE7" w14:textId="77777777" w:rsidR="002562E6" w:rsidRPr="002562E6" w:rsidRDefault="002562E6" w:rsidP="002562E6">
      <w:pPr>
        <w:jc w:val="both"/>
        <w:rPr>
          <w:rFonts w:cs="Arial"/>
        </w:rPr>
      </w:pPr>
    </w:p>
    <w:p w14:paraId="1AFFB020" w14:textId="77777777" w:rsidR="002562E6" w:rsidRPr="002562E6" w:rsidRDefault="002562E6" w:rsidP="002562E6">
      <w:pPr>
        <w:numPr>
          <w:ilvl w:val="0"/>
          <w:numId w:val="6"/>
        </w:numPr>
        <w:tabs>
          <w:tab w:val="num" w:pos="360"/>
        </w:tabs>
        <w:jc w:val="both"/>
        <w:rPr>
          <w:rFonts w:cs="Arial"/>
          <w:b/>
          <w:bCs/>
        </w:rPr>
      </w:pPr>
      <w:r w:rsidRPr="002562E6">
        <w:rPr>
          <w:rFonts w:cs="Arial"/>
          <w:b/>
          <w:bCs/>
        </w:rPr>
        <w:t>ÁREA DE DOCUMENTACIÓN ASOCIADA</w:t>
      </w:r>
    </w:p>
    <w:p w14:paraId="5E1481FB" w14:textId="77777777" w:rsidR="002562E6" w:rsidRPr="002562E6" w:rsidRDefault="002562E6" w:rsidP="002562E6">
      <w:pPr>
        <w:ind w:left="420"/>
        <w:jc w:val="both"/>
        <w:rPr>
          <w:rFonts w:cs="Arial"/>
        </w:rPr>
      </w:pPr>
    </w:p>
    <w:p w14:paraId="53CB6987" w14:textId="77777777" w:rsidR="002562E6" w:rsidRPr="002562E6" w:rsidRDefault="002562E6" w:rsidP="002562E6">
      <w:pPr>
        <w:numPr>
          <w:ilvl w:val="1"/>
          <w:numId w:val="8"/>
        </w:numPr>
        <w:ind w:left="0" w:firstLine="0"/>
        <w:jc w:val="both"/>
        <w:rPr>
          <w:rFonts w:cs="Arial"/>
        </w:rPr>
      </w:pPr>
      <w:r w:rsidRPr="002562E6">
        <w:rPr>
          <w:rFonts w:cs="Arial"/>
          <w:b/>
          <w:bCs/>
        </w:rPr>
        <w:t>UNIDADES DE DESCRIPCIÓN RELACIONADAS:</w:t>
      </w:r>
      <w:r w:rsidRPr="002562E6">
        <w:rPr>
          <w:rFonts w:cs="Arial"/>
        </w:rPr>
        <w:t xml:space="preserve"> </w:t>
      </w:r>
      <w:r w:rsidRPr="002562E6">
        <w:rPr>
          <w:rFonts w:cs="Arial"/>
          <w:bCs/>
          <w:lang w:val="es-ES_tradnl"/>
        </w:rPr>
        <w:t>Protocolos Notariales, Guatemala, Cartago, Complementario Colonial, Federal, Mortuales Coloniales, Municipal, Álbum de Figueroa, Audiovisuales, Fotografías, Anexión a México.</w:t>
      </w:r>
    </w:p>
    <w:p w14:paraId="3D9C36BC" w14:textId="77777777" w:rsidR="002562E6" w:rsidRPr="002562E6" w:rsidRDefault="002562E6" w:rsidP="002562E6">
      <w:pPr>
        <w:widowControl w:val="0"/>
        <w:autoSpaceDE w:val="0"/>
        <w:autoSpaceDN w:val="0"/>
        <w:adjustRightInd w:val="0"/>
        <w:jc w:val="both"/>
        <w:rPr>
          <w:rFonts w:cs="Arial"/>
          <w:lang w:val="es-ES"/>
        </w:rPr>
      </w:pPr>
      <w:bookmarkStart w:id="1" w:name="_GoBack"/>
      <w:bookmarkEnd w:id="1"/>
    </w:p>
    <w:p w14:paraId="2CECAA35" w14:textId="77777777" w:rsidR="002562E6" w:rsidRPr="002562E6" w:rsidRDefault="002562E6" w:rsidP="002562E6">
      <w:pPr>
        <w:jc w:val="both"/>
        <w:rPr>
          <w:rFonts w:cs="Arial"/>
        </w:rPr>
      </w:pPr>
      <w:r w:rsidRPr="002562E6">
        <w:rPr>
          <w:rFonts w:cs="Arial"/>
          <w:b/>
          <w:bCs/>
        </w:rPr>
        <w:t>7</w:t>
      </w:r>
      <w:r w:rsidRPr="002562E6">
        <w:rPr>
          <w:rFonts w:cs="Arial"/>
        </w:rPr>
        <w:t xml:space="preserve">. </w:t>
      </w:r>
      <w:r w:rsidRPr="002562E6">
        <w:rPr>
          <w:rFonts w:cs="Arial"/>
          <w:b/>
          <w:bCs/>
        </w:rPr>
        <w:t>ÁREA DE CONTROL DE LA DESCRIPCIÓN</w:t>
      </w:r>
    </w:p>
    <w:p w14:paraId="0E4A79EA" w14:textId="77777777" w:rsidR="002562E6" w:rsidRPr="002562E6" w:rsidRDefault="002562E6" w:rsidP="002562E6">
      <w:pPr>
        <w:ind w:left="360"/>
        <w:jc w:val="both"/>
        <w:rPr>
          <w:rFonts w:cs="Arial"/>
        </w:rPr>
      </w:pPr>
    </w:p>
    <w:p w14:paraId="5A33C47F" w14:textId="77777777" w:rsidR="002562E6" w:rsidRPr="002562E6" w:rsidRDefault="002562E6" w:rsidP="002562E6">
      <w:pPr>
        <w:numPr>
          <w:ilvl w:val="1"/>
          <w:numId w:val="9"/>
        </w:numPr>
        <w:tabs>
          <w:tab w:val="num" w:pos="0"/>
        </w:tabs>
        <w:ind w:left="0" w:firstLine="0"/>
        <w:jc w:val="both"/>
        <w:rPr>
          <w:rFonts w:cs="Arial"/>
        </w:rPr>
      </w:pPr>
      <w:r w:rsidRPr="002562E6">
        <w:rPr>
          <w:rFonts w:cs="Arial"/>
          <w:b/>
          <w:bCs/>
        </w:rPr>
        <w:t xml:space="preserve">NOTA DEL ARCHIVERO: </w:t>
      </w:r>
      <w:r w:rsidRPr="002562E6">
        <w:rPr>
          <w:rFonts w:cs="Arial"/>
          <w:lang w:val="es-ES_tradnl"/>
        </w:rPr>
        <w:t>Entrada descriptiva e</w:t>
      </w:r>
      <w:r w:rsidRPr="002562E6">
        <w:rPr>
          <w:rFonts w:cs="Arial"/>
        </w:rPr>
        <w:t>laborada por Gabriela Moya Jiménez, profesional del Departamento de Archivo Histórico.</w:t>
      </w:r>
    </w:p>
    <w:p w14:paraId="0F0628B6" w14:textId="77777777" w:rsidR="002562E6" w:rsidRPr="002562E6" w:rsidRDefault="002562E6" w:rsidP="002562E6">
      <w:pPr>
        <w:jc w:val="both"/>
        <w:rPr>
          <w:rFonts w:cs="Arial"/>
          <w:color w:val="FF0000"/>
        </w:rPr>
      </w:pPr>
    </w:p>
    <w:p w14:paraId="7A548928" w14:textId="77777777" w:rsidR="002562E6" w:rsidRPr="002562E6" w:rsidRDefault="002562E6" w:rsidP="002562E6">
      <w:pPr>
        <w:jc w:val="both"/>
        <w:rPr>
          <w:rFonts w:cs="Arial"/>
          <w:color w:val="FF0000"/>
        </w:rPr>
      </w:pPr>
      <w:r w:rsidRPr="002562E6">
        <w:rPr>
          <w:rFonts w:cs="Arial"/>
        </w:rPr>
        <w:t>Las fuentes consultadas fueron las siguientes:</w:t>
      </w:r>
    </w:p>
    <w:p w14:paraId="181EC8D5" w14:textId="77777777" w:rsidR="002562E6" w:rsidRPr="002562E6" w:rsidRDefault="002562E6" w:rsidP="002562E6">
      <w:pPr>
        <w:jc w:val="both"/>
        <w:rPr>
          <w:rFonts w:cs="Arial"/>
        </w:rPr>
      </w:pPr>
    </w:p>
    <w:p w14:paraId="700B4C3F" w14:textId="77777777" w:rsidR="002562E6" w:rsidRPr="002562E6" w:rsidRDefault="002562E6" w:rsidP="002562E6">
      <w:pPr>
        <w:jc w:val="both"/>
        <w:rPr>
          <w:rFonts w:cs="Arial"/>
        </w:rPr>
      </w:pPr>
      <w:r w:rsidRPr="002562E6">
        <w:rPr>
          <w:rFonts w:cs="Arial"/>
        </w:rPr>
        <w:t>-Base de datos ARC disponible en Winisis</w:t>
      </w:r>
    </w:p>
    <w:p w14:paraId="7C7907EA" w14:textId="77777777" w:rsidR="002562E6" w:rsidRPr="002562E6" w:rsidRDefault="002562E6" w:rsidP="002562E6">
      <w:pPr>
        <w:jc w:val="both"/>
        <w:rPr>
          <w:rFonts w:cs="Arial"/>
        </w:rPr>
      </w:pPr>
    </w:p>
    <w:p w14:paraId="4A31A61A" w14:textId="77777777" w:rsidR="002562E6" w:rsidRPr="002562E6" w:rsidRDefault="002562E6" w:rsidP="002562E6">
      <w:pPr>
        <w:jc w:val="both"/>
        <w:rPr>
          <w:rFonts w:cs="Arial"/>
          <w:b/>
        </w:rPr>
      </w:pPr>
      <w:r w:rsidRPr="002562E6">
        <w:rPr>
          <w:rFonts w:cs="Arial"/>
          <w:b/>
        </w:rPr>
        <w:t>Sala de Consulta José Luis Coto Conde</w:t>
      </w:r>
    </w:p>
    <w:p w14:paraId="6DBE044A" w14:textId="77777777" w:rsidR="002562E6" w:rsidRPr="002562E6" w:rsidRDefault="002562E6" w:rsidP="002562E6">
      <w:pPr>
        <w:jc w:val="both"/>
        <w:rPr>
          <w:rFonts w:cs="Arial"/>
        </w:rPr>
      </w:pPr>
    </w:p>
    <w:p w14:paraId="2DB78AB6" w14:textId="77777777" w:rsidR="002562E6" w:rsidRPr="002562E6" w:rsidRDefault="002562E6" w:rsidP="002562E6">
      <w:pPr>
        <w:jc w:val="both"/>
        <w:rPr>
          <w:rFonts w:cs="Arial"/>
        </w:rPr>
      </w:pPr>
      <w:r w:rsidRPr="002562E6">
        <w:rPr>
          <w:rFonts w:cs="Arial"/>
        </w:rPr>
        <w:t xml:space="preserve">-Ficheros </w:t>
      </w:r>
    </w:p>
    <w:p w14:paraId="75513D75" w14:textId="77777777" w:rsidR="002562E6" w:rsidRPr="002562E6" w:rsidRDefault="002562E6" w:rsidP="002562E6">
      <w:pPr>
        <w:jc w:val="both"/>
        <w:rPr>
          <w:rFonts w:cs="Arial"/>
        </w:rPr>
      </w:pPr>
      <w:r w:rsidRPr="002562E6">
        <w:rPr>
          <w:rFonts w:cs="Arial"/>
        </w:rPr>
        <w:t>-Folleto del Centenario del Archivo Nacional 1881-1981. Ministerio de Cultura, Juventud y Deportes</w:t>
      </w:r>
    </w:p>
    <w:p w14:paraId="48AFAD6F" w14:textId="77777777" w:rsidR="002562E6" w:rsidRPr="002562E6" w:rsidRDefault="002562E6" w:rsidP="002562E6">
      <w:pPr>
        <w:jc w:val="both"/>
        <w:rPr>
          <w:rFonts w:cs="Arial"/>
        </w:rPr>
      </w:pPr>
    </w:p>
    <w:p w14:paraId="169D65F3" w14:textId="77777777" w:rsidR="002562E6" w:rsidRPr="002562E6" w:rsidRDefault="002562E6" w:rsidP="002562E6">
      <w:pPr>
        <w:numPr>
          <w:ilvl w:val="1"/>
          <w:numId w:val="9"/>
        </w:numPr>
        <w:tabs>
          <w:tab w:val="num" w:pos="0"/>
        </w:tabs>
        <w:ind w:left="0" w:firstLine="0"/>
        <w:jc w:val="both"/>
        <w:rPr>
          <w:rFonts w:cs="Arial"/>
        </w:rPr>
      </w:pPr>
      <w:r w:rsidRPr="002562E6">
        <w:rPr>
          <w:rFonts w:cs="Arial"/>
          <w:b/>
          <w:bCs/>
        </w:rPr>
        <w:t xml:space="preserve">REGLAS O NORMAS: </w:t>
      </w:r>
    </w:p>
    <w:p w14:paraId="2F5CE0F6" w14:textId="77777777" w:rsidR="002562E6" w:rsidRPr="002562E6" w:rsidRDefault="002562E6" w:rsidP="002562E6">
      <w:pPr>
        <w:jc w:val="both"/>
        <w:rPr>
          <w:rFonts w:cs="Arial"/>
        </w:rPr>
      </w:pPr>
    </w:p>
    <w:p w14:paraId="192F145D" w14:textId="77777777" w:rsidR="002562E6" w:rsidRPr="002562E6" w:rsidRDefault="002562E6" w:rsidP="002562E6">
      <w:pPr>
        <w:numPr>
          <w:ilvl w:val="0"/>
          <w:numId w:val="10"/>
        </w:numPr>
        <w:tabs>
          <w:tab w:val="num" w:pos="360"/>
        </w:tabs>
        <w:ind w:left="142" w:hanging="142"/>
        <w:jc w:val="both"/>
        <w:rPr>
          <w:rFonts w:cs="Arial"/>
        </w:rPr>
      </w:pPr>
      <w:r w:rsidRPr="002562E6">
        <w:rPr>
          <w:rFonts w:cs="Arial"/>
        </w:rPr>
        <w:t>Consejo Internacional de Archivos. ISAD (G) (2000). Norma Internacional General de Descripción Archivística. Madrid, Subdirección de los Archivos Estatales.</w:t>
      </w:r>
    </w:p>
    <w:p w14:paraId="3E2CE2D7" w14:textId="77777777" w:rsidR="002562E6" w:rsidRPr="002562E6" w:rsidRDefault="002562E6" w:rsidP="002562E6">
      <w:pPr>
        <w:tabs>
          <w:tab w:val="num" w:pos="360"/>
        </w:tabs>
        <w:ind w:left="142" w:hanging="142"/>
        <w:jc w:val="both"/>
        <w:rPr>
          <w:rFonts w:cs="Arial"/>
        </w:rPr>
      </w:pPr>
    </w:p>
    <w:p w14:paraId="5B072EA4" w14:textId="77777777" w:rsidR="002562E6" w:rsidRPr="002562E6" w:rsidRDefault="002562E6" w:rsidP="002562E6">
      <w:pPr>
        <w:numPr>
          <w:ilvl w:val="0"/>
          <w:numId w:val="10"/>
        </w:numPr>
        <w:tabs>
          <w:tab w:val="num" w:pos="360"/>
        </w:tabs>
        <w:ind w:left="142" w:hanging="142"/>
        <w:jc w:val="both"/>
        <w:rPr>
          <w:rFonts w:cs="Arial"/>
        </w:rPr>
      </w:pPr>
      <w:r w:rsidRPr="002562E6">
        <w:rPr>
          <w:rFonts w:cs="Arial"/>
        </w:rPr>
        <w:t>Dirección General del Archivo Nacional (2010). Aplicación de la Norma Internacional de Descripción ISAD (G) en Archivo Nacional, noviembre.</w:t>
      </w:r>
    </w:p>
    <w:p w14:paraId="3D952FEE" w14:textId="77777777" w:rsidR="002562E6" w:rsidRPr="002562E6" w:rsidRDefault="002562E6" w:rsidP="002562E6">
      <w:pPr>
        <w:jc w:val="both"/>
        <w:rPr>
          <w:rFonts w:cs="Arial"/>
        </w:rPr>
      </w:pPr>
    </w:p>
    <w:p w14:paraId="1F5C9BF3" w14:textId="77777777" w:rsidR="002562E6" w:rsidRPr="002562E6" w:rsidRDefault="002562E6" w:rsidP="002562E6">
      <w:pPr>
        <w:numPr>
          <w:ilvl w:val="1"/>
          <w:numId w:val="9"/>
        </w:numPr>
        <w:tabs>
          <w:tab w:val="num" w:pos="0"/>
        </w:tabs>
        <w:ind w:left="0" w:firstLine="0"/>
        <w:jc w:val="both"/>
        <w:rPr>
          <w:rFonts w:cs="Arial"/>
          <w:b/>
          <w:bCs/>
        </w:rPr>
      </w:pPr>
      <w:r w:rsidRPr="002562E6">
        <w:rPr>
          <w:rFonts w:cs="Arial"/>
          <w:b/>
          <w:bCs/>
        </w:rPr>
        <w:t xml:space="preserve">FECHA (S) DE LA (S) DESCRIPCIÓN (ES): </w:t>
      </w:r>
      <w:r w:rsidRPr="002562E6">
        <w:rPr>
          <w:rFonts w:cs="Arial"/>
          <w:lang w:val="es-ES_tradnl"/>
        </w:rPr>
        <w:t xml:space="preserve">2015-05-12. </w:t>
      </w:r>
      <w:r w:rsidRPr="002562E6">
        <w:rPr>
          <w:rFonts w:cs="Arial"/>
          <w:bCs/>
          <w:lang w:val="es-ES_tradnl"/>
        </w:rPr>
        <w:t>Revisada y aprobada por la Comisión de Descripción del Archivo Nacional, sesión 5-2015.</w:t>
      </w:r>
    </w:p>
    <w:p w14:paraId="69434869" w14:textId="314CE3D3" w:rsidR="00550F08" w:rsidRPr="002562E6" w:rsidRDefault="00550F08" w:rsidP="002562E6">
      <w:pPr>
        <w:jc w:val="both"/>
        <w:rPr>
          <w:rFonts w:cs="Arial"/>
        </w:rPr>
      </w:pPr>
    </w:p>
    <w:sectPr w:rsidR="00550F08" w:rsidRPr="002562E6"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7B2E7" w14:textId="77777777" w:rsidR="009F0CCE" w:rsidRDefault="009F0CCE" w:rsidP="00602906">
      <w:r>
        <w:separator/>
      </w:r>
    </w:p>
  </w:endnote>
  <w:endnote w:type="continuationSeparator" w:id="0">
    <w:p w14:paraId="6F7AEFB0" w14:textId="77777777" w:rsidR="009F0CCE" w:rsidRDefault="009F0CCE"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29A1B66"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C72ED" w14:textId="77777777" w:rsidR="009F0CCE" w:rsidRDefault="009F0CCE" w:rsidP="00602906">
      <w:r>
        <w:separator/>
      </w:r>
    </w:p>
  </w:footnote>
  <w:footnote w:type="continuationSeparator" w:id="0">
    <w:p w14:paraId="6AD3CB61" w14:textId="77777777" w:rsidR="009F0CCE" w:rsidRDefault="009F0CCE"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14">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6">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8">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83BC1"/>
    <w:rsid w:val="000A2019"/>
    <w:rsid w:val="000B37FA"/>
    <w:rsid w:val="00102082"/>
    <w:rsid w:val="00121DC6"/>
    <w:rsid w:val="001331FD"/>
    <w:rsid w:val="00134465"/>
    <w:rsid w:val="00136788"/>
    <w:rsid w:val="00144ABD"/>
    <w:rsid w:val="0016679D"/>
    <w:rsid w:val="0018675A"/>
    <w:rsid w:val="00191459"/>
    <w:rsid w:val="001F3DCB"/>
    <w:rsid w:val="00225783"/>
    <w:rsid w:val="00231BF7"/>
    <w:rsid w:val="00236F86"/>
    <w:rsid w:val="002562E6"/>
    <w:rsid w:val="002676D8"/>
    <w:rsid w:val="00285EAE"/>
    <w:rsid w:val="00291E42"/>
    <w:rsid w:val="00295782"/>
    <w:rsid w:val="002A0CF5"/>
    <w:rsid w:val="002B2F5D"/>
    <w:rsid w:val="002B54C3"/>
    <w:rsid w:val="002F027B"/>
    <w:rsid w:val="003102DA"/>
    <w:rsid w:val="0034671D"/>
    <w:rsid w:val="003702DE"/>
    <w:rsid w:val="003755B0"/>
    <w:rsid w:val="003A2B54"/>
    <w:rsid w:val="003A36DF"/>
    <w:rsid w:val="003B7978"/>
    <w:rsid w:val="00443518"/>
    <w:rsid w:val="004E529F"/>
    <w:rsid w:val="004F2571"/>
    <w:rsid w:val="00502F9E"/>
    <w:rsid w:val="00521B59"/>
    <w:rsid w:val="00521D9D"/>
    <w:rsid w:val="00522132"/>
    <w:rsid w:val="00550F08"/>
    <w:rsid w:val="00586D5F"/>
    <w:rsid w:val="005912B6"/>
    <w:rsid w:val="005A6B82"/>
    <w:rsid w:val="005D3C7E"/>
    <w:rsid w:val="005D64E9"/>
    <w:rsid w:val="00602906"/>
    <w:rsid w:val="00612975"/>
    <w:rsid w:val="00623592"/>
    <w:rsid w:val="0062472C"/>
    <w:rsid w:val="006E7965"/>
    <w:rsid w:val="007211E4"/>
    <w:rsid w:val="007647D9"/>
    <w:rsid w:val="007A32FA"/>
    <w:rsid w:val="007B4427"/>
    <w:rsid w:val="007D29AE"/>
    <w:rsid w:val="00833FB5"/>
    <w:rsid w:val="00836E21"/>
    <w:rsid w:val="00902AEE"/>
    <w:rsid w:val="009136A0"/>
    <w:rsid w:val="009337A7"/>
    <w:rsid w:val="0096318C"/>
    <w:rsid w:val="0098794D"/>
    <w:rsid w:val="009A0613"/>
    <w:rsid w:val="009B1D8F"/>
    <w:rsid w:val="009C4662"/>
    <w:rsid w:val="009E138F"/>
    <w:rsid w:val="009F0CCE"/>
    <w:rsid w:val="009F3A23"/>
    <w:rsid w:val="00A074ED"/>
    <w:rsid w:val="00A07EF0"/>
    <w:rsid w:val="00A1635C"/>
    <w:rsid w:val="00A16404"/>
    <w:rsid w:val="00A6609B"/>
    <w:rsid w:val="00A822A2"/>
    <w:rsid w:val="00A85F1F"/>
    <w:rsid w:val="00AB2438"/>
    <w:rsid w:val="00AB351E"/>
    <w:rsid w:val="00AC42E2"/>
    <w:rsid w:val="00AF215D"/>
    <w:rsid w:val="00AF5E02"/>
    <w:rsid w:val="00B04A86"/>
    <w:rsid w:val="00B26D3D"/>
    <w:rsid w:val="00B30829"/>
    <w:rsid w:val="00B53DCB"/>
    <w:rsid w:val="00BB06DB"/>
    <w:rsid w:val="00BC5DEC"/>
    <w:rsid w:val="00C11C07"/>
    <w:rsid w:val="00C160EC"/>
    <w:rsid w:val="00C20E61"/>
    <w:rsid w:val="00C5626A"/>
    <w:rsid w:val="00C76A29"/>
    <w:rsid w:val="00C83FC6"/>
    <w:rsid w:val="00D407F6"/>
    <w:rsid w:val="00D53B02"/>
    <w:rsid w:val="00D638A1"/>
    <w:rsid w:val="00DA50CF"/>
    <w:rsid w:val="00DC12F6"/>
    <w:rsid w:val="00DD17D2"/>
    <w:rsid w:val="00DF48E5"/>
    <w:rsid w:val="00E02D41"/>
    <w:rsid w:val="00E05D8E"/>
    <w:rsid w:val="00E20D28"/>
    <w:rsid w:val="00E33250"/>
    <w:rsid w:val="00E4347A"/>
    <w:rsid w:val="00E677E3"/>
    <w:rsid w:val="00E735AD"/>
    <w:rsid w:val="00E856B3"/>
    <w:rsid w:val="00EB0669"/>
    <w:rsid w:val="00EB7CFB"/>
    <w:rsid w:val="00EB7EF7"/>
    <w:rsid w:val="00F2227A"/>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295782"/>
    <w:pPr>
      <w:keepNext/>
      <w:keepLines/>
      <w:jc w:val="center"/>
      <w:outlineLvl w:val="0"/>
    </w:pPr>
    <w:rPr>
      <w:rFonts w:eastAsiaTheme="majorEastAsia" w:cs="Arial"/>
      <w:b/>
      <w:bCs/>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295782"/>
    <w:rPr>
      <w:rFonts w:ascii="Arial" w:eastAsiaTheme="majorEastAsia" w:hAnsi="Arial" w:cs="Arial"/>
      <w:b/>
      <w:bCs/>
      <w:sz w:val="22"/>
      <w:szCs w:val="22"/>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295782"/>
    <w:pPr>
      <w:keepNext/>
      <w:keepLines/>
      <w:jc w:val="center"/>
      <w:outlineLvl w:val="0"/>
    </w:pPr>
    <w:rPr>
      <w:rFonts w:eastAsiaTheme="majorEastAsia" w:cs="Arial"/>
      <w:b/>
      <w:bCs/>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295782"/>
    <w:rPr>
      <w:rFonts w:ascii="Arial" w:eastAsiaTheme="majorEastAsia" w:hAnsi="Arial" w:cs="Arial"/>
      <w:b/>
      <w:bCs/>
      <w:sz w:val="22"/>
      <w:szCs w:val="22"/>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1992-852F-47F9-8825-E774A0F0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2017-04-17T17:58:00Z</dcterms:created>
  <dcterms:modified xsi:type="dcterms:W3CDTF">2017-04-19T15:21:00Z</dcterms:modified>
</cp:coreProperties>
</file>