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E898" w14:textId="77777777" w:rsidR="00FA1C82" w:rsidRPr="00620D4A" w:rsidRDefault="00FA1C82" w:rsidP="00620D4A">
      <w:pPr>
        <w:pStyle w:val="Ttulo1"/>
        <w:spacing w:before="0"/>
        <w:jc w:val="center"/>
        <w:rPr>
          <w:rFonts w:ascii="Arial" w:hAnsi="Arial" w:cs="Arial"/>
          <w:color w:val="auto"/>
          <w:sz w:val="22"/>
          <w:szCs w:val="22"/>
        </w:rPr>
      </w:pPr>
      <w:r w:rsidRPr="00620D4A">
        <w:rPr>
          <w:rFonts w:ascii="Arial" w:hAnsi="Arial" w:cs="Arial"/>
          <w:color w:val="auto"/>
          <w:sz w:val="22"/>
          <w:szCs w:val="22"/>
        </w:rPr>
        <w:t>ENTRADA DESCRIPTIVA CON LA APLICACIÓN DE</w:t>
      </w:r>
    </w:p>
    <w:p w14:paraId="1B51FAD2" w14:textId="62B6F66E" w:rsidR="00FA1C82" w:rsidRPr="00620D4A" w:rsidRDefault="00FA1C82" w:rsidP="00620D4A">
      <w:pPr>
        <w:pStyle w:val="Ttulo1"/>
        <w:spacing w:before="0"/>
        <w:jc w:val="center"/>
        <w:rPr>
          <w:rFonts w:ascii="Arial" w:hAnsi="Arial" w:cs="Arial"/>
          <w:color w:val="auto"/>
          <w:sz w:val="22"/>
          <w:szCs w:val="22"/>
        </w:rPr>
      </w:pPr>
      <w:r w:rsidRPr="00620D4A">
        <w:rPr>
          <w:rFonts w:ascii="Arial" w:hAnsi="Arial" w:cs="Arial"/>
          <w:color w:val="auto"/>
          <w:sz w:val="22"/>
          <w:szCs w:val="22"/>
        </w:rPr>
        <w:t>LA NORMA INTERNACIONAL ISAD (G)</w:t>
      </w:r>
    </w:p>
    <w:p w14:paraId="69D7D325" w14:textId="0CF9B58F" w:rsidR="00FA1C82" w:rsidRPr="00620D4A" w:rsidRDefault="00FA1C82" w:rsidP="00620D4A">
      <w:pPr>
        <w:pStyle w:val="Ttulo1"/>
        <w:spacing w:before="0"/>
        <w:jc w:val="center"/>
        <w:rPr>
          <w:rFonts w:ascii="Arial" w:hAnsi="Arial" w:cs="Arial"/>
          <w:color w:val="auto"/>
          <w:sz w:val="22"/>
          <w:szCs w:val="22"/>
        </w:rPr>
      </w:pPr>
      <w:r w:rsidRPr="00620D4A">
        <w:rPr>
          <w:rFonts w:ascii="Arial" w:hAnsi="Arial" w:cs="Arial"/>
          <w:color w:val="auto"/>
          <w:sz w:val="22"/>
          <w:szCs w:val="22"/>
        </w:rPr>
        <w:t>FONDO: MINISTERIO DE SEGURIDAD PÚBLICA</w:t>
      </w:r>
    </w:p>
    <w:p w14:paraId="7D4D969F" w14:textId="77777777" w:rsidR="00FA1C82" w:rsidRPr="00FA1C82" w:rsidRDefault="00FA1C82" w:rsidP="00FA1C82">
      <w:pPr>
        <w:jc w:val="center"/>
        <w:rPr>
          <w:rFonts w:cs="Arial"/>
          <w:b/>
        </w:rPr>
      </w:pPr>
    </w:p>
    <w:p w14:paraId="33100329" w14:textId="77777777" w:rsidR="00FA1C82" w:rsidRPr="00FA1C82" w:rsidRDefault="00FA1C82" w:rsidP="00FA1C82">
      <w:pPr>
        <w:jc w:val="both"/>
        <w:rPr>
          <w:rFonts w:cs="Arial"/>
        </w:rPr>
      </w:pPr>
    </w:p>
    <w:p w14:paraId="08561091"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IDENTIFICACIÓN</w:t>
      </w:r>
    </w:p>
    <w:p w14:paraId="68C647E4" w14:textId="77777777" w:rsidR="00FA1C82" w:rsidRPr="00FA1C82" w:rsidRDefault="00FA1C82" w:rsidP="00FA1C82">
      <w:pPr>
        <w:jc w:val="both"/>
        <w:rPr>
          <w:rFonts w:cs="Arial"/>
        </w:rPr>
      </w:pPr>
    </w:p>
    <w:p w14:paraId="19C0DF08" w14:textId="77777777" w:rsidR="00FA1C82" w:rsidRPr="00FA1C82" w:rsidRDefault="00FA1C82" w:rsidP="00FA1C82">
      <w:pPr>
        <w:numPr>
          <w:ilvl w:val="1"/>
          <w:numId w:val="18"/>
        </w:numPr>
        <w:jc w:val="both"/>
        <w:rPr>
          <w:rFonts w:cs="Arial"/>
        </w:rPr>
      </w:pPr>
      <w:r w:rsidRPr="00FA1C82">
        <w:rPr>
          <w:rFonts w:cs="Arial"/>
          <w:bCs/>
        </w:rPr>
        <w:t xml:space="preserve"> CODIGO DE REFERENCIA:</w:t>
      </w:r>
      <w:r w:rsidRPr="00FA1C82">
        <w:rPr>
          <w:rFonts w:cs="Arial"/>
          <w:color w:val="FF0000"/>
        </w:rPr>
        <w:t xml:space="preserve"> </w:t>
      </w:r>
      <w:r w:rsidRPr="00FA1C82">
        <w:rPr>
          <w:rFonts w:cs="Arial"/>
        </w:rPr>
        <w:t>CR-AN-AH-MSP-000001-003256</w:t>
      </w:r>
    </w:p>
    <w:p w14:paraId="1738EA49" w14:textId="77777777" w:rsidR="00FA1C82" w:rsidRPr="00FA1C82" w:rsidRDefault="00FA1C82" w:rsidP="00FA1C82">
      <w:pPr>
        <w:jc w:val="both"/>
        <w:rPr>
          <w:rFonts w:cs="Arial"/>
        </w:rPr>
      </w:pPr>
    </w:p>
    <w:p w14:paraId="7D80A4B8" w14:textId="77777777" w:rsidR="00FA1C82" w:rsidRPr="00FA1C82" w:rsidRDefault="00FA1C82" w:rsidP="00FA1C82">
      <w:pPr>
        <w:numPr>
          <w:ilvl w:val="1"/>
          <w:numId w:val="18"/>
        </w:numPr>
        <w:jc w:val="both"/>
        <w:rPr>
          <w:rFonts w:cs="Arial"/>
          <w:bCs/>
        </w:rPr>
      </w:pPr>
      <w:r w:rsidRPr="00FA1C82">
        <w:rPr>
          <w:rFonts w:cs="Arial"/>
          <w:bCs/>
        </w:rPr>
        <w:t xml:space="preserve"> TÍTULO: </w:t>
      </w:r>
      <w:r w:rsidRPr="00FA1C82">
        <w:rPr>
          <w:rFonts w:cs="Arial"/>
        </w:rPr>
        <w:t>Ministerio de Seguridad Pública</w:t>
      </w:r>
    </w:p>
    <w:p w14:paraId="4B3C1B82" w14:textId="77777777" w:rsidR="00FA1C82" w:rsidRPr="00FA1C82" w:rsidRDefault="00FA1C82" w:rsidP="00FA1C82">
      <w:pPr>
        <w:pStyle w:val="Textosinformato"/>
        <w:jc w:val="both"/>
        <w:rPr>
          <w:rFonts w:ascii="Arial" w:hAnsi="Arial" w:cs="Arial"/>
          <w:sz w:val="22"/>
          <w:szCs w:val="22"/>
          <w:lang w:val="es-ES"/>
        </w:rPr>
      </w:pPr>
    </w:p>
    <w:p w14:paraId="5BF81D05" w14:textId="77777777" w:rsidR="00FA1C82" w:rsidRPr="00FA1C82" w:rsidRDefault="00FA1C82" w:rsidP="00FA1C82">
      <w:pPr>
        <w:numPr>
          <w:ilvl w:val="1"/>
          <w:numId w:val="18"/>
        </w:numPr>
        <w:jc w:val="both"/>
        <w:rPr>
          <w:rFonts w:cs="Arial"/>
        </w:rPr>
      </w:pPr>
      <w:r w:rsidRPr="00FA1C82">
        <w:rPr>
          <w:rFonts w:cs="Arial"/>
          <w:bCs/>
        </w:rPr>
        <w:t xml:space="preserve"> FECHAS (S): </w:t>
      </w:r>
      <w:r w:rsidRPr="00FA1C82">
        <w:rPr>
          <w:rFonts w:cs="Arial"/>
        </w:rPr>
        <w:t>1904 1989</w:t>
      </w:r>
    </w:p>
    <w:p w14:paraId="587E3E01" w14:textId="77777777" w:rsidR="00FA1C82" w:rsidRPr="00FA1C82" w:rsidRDefault="00FA1C82" w:rsidP="00FA1C82">
      <w:pPr>
        <w:jc w:val="both"/>
        <w:rPr>
          <w:rFonts w:cs="Arial"/>
        </w:rPr>
      </w:pPr>
    </w:p>
    <w:p w14:paraId="7E1D897F" w14:textId="77777777" w:rsidR="00FA1C82" w:rsidRPr="00FA1C82" w:rsidRDefault="00FA1C82" w:rsidP="00FA1C82">
      <w:pPr>
        <w:numPr>
          <w:ilvl w:val="1"/>
          <w:numId w:val="18"/>
        </w:numPr>
        <w:jc w:val="both"/>
        <w:rPr>
          <w:rFonts w:cs="Arial"/>
          <w:lang w:val="es-ES"/>
        </w:rPr>
      </w:pPr>
      <w:r w:rsidRPr="00FA1C82">
        <w:rPr>
          <w:rFonts w:cs="Arial"/>
          <w:bCs/>
        </w:rPr>
        <w:t xml:space="preserve"> NIVEL DE DESCRIPCIÓN: </w:t>
      </w:r>
      <w:r w:rsidRPr="00FA1C82">
        <w:rPr>
          <w:rFonts w:cs="Arial"/>
        </w:rPr>
        <w:t>Fondo</w:t>
      </w:r>
    </w:p>
    <w:p w14:paraId="4E30C4DF" w14:textId="77777777" w:rsidR="00FA1C82" w:rsidRPr="00FA1C82" w:rsidRDefault="00FA1C82" w:rsidP="00FA1C82">
      <w:pPr>
        <w:jc w:val="both"/>
        <w:rPr>
          <w:rFonts w:cs="Arial"/>
          <w:bCs/>
        </w:rPr>
      </w:pPr>
    </w:p>
    <w:p w14:paraId="3FFD830B" w14:textId="77777777" w:rsidR="00FA1C82" w:rsidRPr="00FA1C82" w:rsidRDefault="00FA1C82" w:rsidP="00FA1C82">
      <w:pPr>
        <w:numPr>
          <w:ilvl w:val="1"/>
          <w:numId w:val="18"/>
        </w:numPr>
        <w:jc w:val="both"/>
        <w:rPr>
          <w:rFonts w:cs="Arial"/>
          <w:lang w:val="es-ES"/>
        </w:rPr>
      </w:pPr>
      <w:r w:rsidRPr="00FA1C82">
        <w:rPr>
          <w:rFonts w:cs="Arial"/>
          <w:bCs/>
        </w:rPr>
        <w:t xml:space="preserve"> VOLUMEN Y SOPORTE DE LA UNIDAD DE DESCRIPCIÓN: </w:t>
      </w:r>
      <w:r w:rsidRPr="00FA1C82">
        <w:rPr>
          <w:rFonts w:cs="Arial"/>
        </w:rPr>
        <w:t xml:space="preserve">37.65 m (3256 unidades documentales). </w:t>
      </w:r>
    </w:p>
    <w:p w14:paraId="7B990347" w14:textId="77777777" w:rsidR="00FA1C82" w:rsidRPr="00FA1C82" w:rsidRDefault="00FA1C82" w:rsidP="00FA1C82">
      <w:pPr>
        <w:autoSpaceDE w:val="0"/>
        <w:autoSpaceDN w:val="0"/>
        <w:adjustRightInd w:val="0"/>
        <w:jc w:val="both"/>
        <w:rPr>
          <w:rFonts w:cs="Arial"/>
        </w:rPr>
      </w:pPr>
    </w:p>
    <w:p w14:paraId="381FA32B"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CONTEXTO</w:t>
      </w:r>
    </w:p>
    <w:p w14:paraId="30C38383" w14:textId="77777777" w:rsidR="00FA1C82" w:rsidRPr="00FA1C82" w:rsidRDefault="00FA1C82" w:rsidP="00FA1C82">
      <w:pPr>
        <w:jc w:val="both"/>
        <w:rPr>
          <w:rFonts w:cs="Arial"/>
          <w:bCs/>
        </w:rPr>
      </w:pPr>
    </w:p>
    <w:p w14:paraId="5798F8BA" w14:textId="77777777" w:rsidR="00FA1C82" w:rsidRPr="00FA1C82" w:rsidRDefault="00FA1C82" w:rsidP="00FA1C82">
      <w:pPr>
        <w:numPr>
          <w:ilvl w:val="1"/>
          <w:numId w:val="18"/>
        </w:numPr>
        <w:jc w:val="both"/>
        <w:rPr>
          <w:rFonts w:cs="Arial"/>
        </w:rPr>
      </w:pPr>
      <w:r w:rsidRPr="00FA1C82">
        <w:rPr>
          <w:rFonts w:cs="Arial"/>
          <w:bCs/>
        </w:rPr>
        <w:t xml:space="preserve"> NOMBRE DEL O DE LOS PRODUCTOR (ES) / COLECCIONISTA (S): </w:t>
      </w:r>
      <w:r w:rsidRPr="00FA1C82">
        <w:rPr>
          <w:rFonts w:cs="Arial"/>
        </w:rPr>
        <w:t>Ministerio de Seguridad Pública, Secretaría de Seguridad Pública, Ministerio de Gobernación Policía y Seguridad Pública</w:t>
      </w:r>
    </w:p>
    <w:p w14:paraId="228AE3FE" w14:textId="77777777" w:rsidR="00FA1C82" w:rsidRPr="00FA1C82" w:rsidRDefault="00FA1C82" w:rsidP="00FA1C82">
      <w:pPr>
        <w:jc w:val="both"/>
        <w:rPr>
          <w:rFonts w:cs="Arial"/>
        </w:rPr>
      </w:pPr>
    </w:p>
    <w:p w14:paraId="45595ABE" w14:textId="77777777" w:rsidR="00FA1C82" w:rsidRPr="00FA1C82" w:rsidRDefault="00FA1C82" w:rsidP="00FA1C82">
      <w:pPr>
        <w:numPr>
          <w:ilvl w:val="1"/>
          <w:numId w:val="18"/>
        </w:numPr>
        <w:jc w:val="both"/>
        <w:rPr>
          <w:rFonts w:cs="Arial"/>
          <w:bCs/>
        </w:rPr>
      </w:pPr>
      <w:r w:rsidRPr="00FA1C82">
        <w:rPr>
          <w:rFonts w:cs="Arial"/>
          <w:bCs/>
        </w:rPr>
        <w:t xml:space="preserve"> HISTORIA INSTITUCIONAL / RESEÑA BIOGRÁFICA: </w:t>
      </w:r>
    </w:p>
    <w:p w14:paraId="0FFB1234" w14:textId="77777777" w:rsidR="00FA1C82" w:rsidRPr="00FA1C82" w:rsidRDefault="00FA1C82" w:rsidP="00FA1C82">
      <w:pPr>
        <w:jc w:val="both"/>
        <w:rPr>
          <w:rFonts w:cs="Arial"/>
          <w:lang w:val="es-ES"/>
        </w:rPr>
      </w:pPr>
      <w:r w:rsidRPr="00FA1C82">
        <w:rPr>
          <w:rFonts w:cs="Arial"/>
          <w:color w:val="000000"/>
        </w:rPr>
        <w:t xml:space="preserve">Durante la época colonial se hicieron esfuerzos por crear una institución de carácter militar, pero dado que la población costarricense tenía necesidades más urgentes, fundamentalmente de tipo socioeconómico, esas inquietudes fueron relegadas. </w:t>
      </w:r>
    </w:p>
    <w:p w14:paraId="2DF60CF0" w14:textId="77777777" w:rsidR="00FA1C82" w:rsidRPr="00FA1C82" w:rsidRDefault="00FA1C82" w:rsidP="00FA1C82">
      <w:pPr>
        <w:jc w:val="both"/>
        <w:rPr>
          <w:rFonts w:cs="Arial"/>
        </w:rPr>
      </w:pPr>
      <w:r w:rsidRPr="00FA1C82">
        <w:rPr>
          <w:rFonts w:cs="Arial"/>
          <w:color w:val="000000"/>
        </w:rPr>
        <w:t>Es hasta 1821, con la promulgación del Pacto de Concordia, que se establecieron comandancias en los pueblos a cargo de un oficial. Posteriormente, la Asamblea Constituyente de 1844 crea mediante la Constitución del Estado Libre y Soberano de Costa Rica, los dos primeros ministerios del Estado, siendo uno de ellos el de Gobernación, Relaciones Interiores y Exteriores y el otro de Hacienda y Guerra.</w:t>
      </w:r>
    </w:p>
    <w:p w14:paraId="535B27EE" w14:textId="77777777" w:rsidR="00FA1C82" w:rsidRPr="00FA1C82" w:rsidRDefault="00FA1C82" w:rsidP="00FA1C82">
      <w:pPr>
        <w:jc w:val="both"/>
        <w:rPr>
          <w:rFonts w:cs="Arial"/>
        </w:rPr>
      </w:pPr>
    </w:p>
    <w:p w14:paraId="6B17C002" w14:textId="77777777" w:rsidR="00FA1C82" w:rsidRPr="00FA1C82" w:rsidRDefault="00FA1C82" w:rsidP="00FA1C82">
      <w:pPr>
        <w:jc w:val="both"/>
        <w:rPr>
          <w:rFonts w:cs="Arial"/>
          <w:color w:val="000000"/>
        </w:rPr>
      </w:pPr>
      <w:r w:rsidRPr="00FA1C82">
        <w:rPr>
          <w:rFonts w:cs="Arial"/>
          <w:color w:val="000000"/>
        </w:rPr>
        <w:t xml:space="preserve">Para el año 1923, el presidente Julio Acosta eliminó el Ministerio de Guerra, y lo reemplazó por el Ministerio de Seguridad Pública, por lo cual las actividades militares pasaron a un segundo plano. El 13 de abril de 1923, mediante la Ley N° 93, se creó la Dirección de Investigaciones Criminales. </w:t>
      </w:r>
    </w:p>
    <w:p w14:paraId="092DF1CF" w14:textId="77777777" w:rsidR="00FA1C82" w:rsidRPr="00FA1C82" w:rsidRDefault="00FA1C82" w:rsidP="00FA1C82">
      <w:pPr>
        <w:jc w:val="both"/>
        <w:rPr>
          <w:rFonts w:cs="Arial"/>
          <w:color w:val="000000"/>
        </w:rPr>
      </w:pPr>
    </w:p>
    <w:p w14:paraId="42A24706" w14:textId="77777777" w:rsidR="00FA1C82" w:rsidRPr="00FA1C82" w:rsidRDefault="00FA1C82" w:rsidP="00FA1C82">
      <w:pPr>
        <w:jc w:val="both"/>
        <w:rPr>
          <w:rFonts w:cs="Arial"/>
          <w:color w:val="000000"/>
        </w:rPr>
      </w:pPr>
      <w:r w:rsidRPr="00FA1C82">
        <w:rPr>
          <w:rFonts w:cs="Arial"/>
          <w:color w:val="000000"/>
        </w:rPr>
        <w:t xml:space="preserve">El 01 de diciembre de 1948, se abolió el Ejército. Tal abolición fue ratificada por la Asamblea Constituyente en el artículo 12 de la Constitución de la </w:t>
      </w:r>
      <w:proofErr w:type="spellStart"/>
      <w:r w:rsidRPr="00FA1C82">
        <w:rPr>
          <w:rFonts w:cs="Arial"/>
          <w:color w:val="000000"/>
        </w:rPr>
        <w:t>Republica</w:t>
      </w:r>
      <w:proofErr w:type="spellEnd"/>
      <w:r w:rsidRPr="00FA1C82">
        <w:rPr>
          <w:rFonts w:cs="Arial"/>
          <w:color w:val="000000"/>
        </w:rPr>
        <w:t xml:space="preserve"> de Costa Rica de 1949. Al proscribirse el Ejército como institución permanente y disponiéndose para la vigilancia y conservación del orden público, las fuerzas armadas pasan a llamarse Guardia Civil y ésta se encargaría de funciones policiales y de orden y seguridad de la Nación. </w:t>
      </w:r>
    </w:p>
    <w:p w14:paraId="668B8D31" w14:textId="77777777" w:rsidR="00FA1C82" w:rsidRPr="00FA1C82" w:rsidRDefault="00FA1C82" w:rsidP="00FA1C82">
      <w:pPr>
        <w:jc w:val="both"/>
        <w:rPr>
          <w:rFonts w:cs="Arial"/>
          <w:color w:val="000000"/>
        </w:rPr>
      </w:pPr>
    </w:p>
    <w:p w14:paraId="12B46CBE" w14:textId="77777777" w:rsidR="00FA1C82" w:rsidRPr="00FA1C82" w:rsidRDefault="00FA1C82" w:rsidP="00FA1C82">
      <w:pPr>
        <w:jc w:val="both"/>
        <w:rPr>
          <w:rFonts w:cs="Arial"/>
          <w:color w:val="000000"/>
        </w:rPr>
      </w:pPr>
      <w:r w:rsidRPr="00FA1C82">
        <w:rPr>
          <w:rFonts w:cs="Arial"/>
          <w:color w:val="000000"/>
        </w:rPr>
        <w:t xml:space="preserve">Durante el gobierno de Rodrigo Carazo Odio (1978-1982), se fusionó el Ministerio de Seguridad Pública y el Ministerio de Gobernación y Policía en uno solo, el cual se denominó Ministerio del Interior, no obstante, en posteriores administraciones este proyecto no tuvo el apoyo necesario para continuar. </w:t>
      </w:r>
    </w:p>
    <w:p w14:paraId="2EBC63A1" w14:textId="77777777" w:rsidR="00FA1C82" w:rsidRPr="00FA1C82" w:rsidRDefault="00FA1C82" w:rsidP="00FA1C82">
      <w:pPr>
        <w:jc w:val="both"/>
        <w:rPr>
          <w:rFonts w:cs="Arial"/>
          <w:color w:val="000000"/>
        </w:rPr>
      </w:pPr>
    </w:p>
    <w:p w14:paraId="0C46F095" w14:textId="77777777" w:rsidR="00FA1C82" w:rsidRPr="00FA1C82" w:rsidRDefault="00FA1C82" w:rsidP="00FA1C82">
      <w:pPr>
        <w:jc w:val="both"/>
        <w:rPr>
          <w:rFonts w:cs="Arial"/>
          <w:color w:val="000000"/>
        </w:rPr>
      </w:pPr>
      <w:r w:rsidRPr="00FA1C82">
        <w:rPr>
          <w:rFonts w:cs="Arial"/>
          <w:color w:val="000000"/>
        </w:rPr>
        <w:t xml:space="preserve">En el año 1986, se crea el Departamento de Investigaciones, Estupefacientes e inteligencia (DIEI) adscrito al Ministerio de Gobernación y Policía. Sin embargo, en 1992 se fusionan los recursos humanos, materiales y técnicos de los cuerpos policiales antinarcóticos que existían en ese momento, Narcóticos del Ministerio de Seguridad y el DIEI del Ministerio de Gobernación y Policía. Nace así, la Dirección Nacional de Control de Drogas y se le da rango legal. </w:t>
      </w:r>
    </w:p>
    <w:p w14:paraId="1888367C" w14:textId="77777777" w:rsidR="00FA1C82" w:rsidRPr="00FA1C82" w:rsidRDefault="00FA1C82" w:rsidP="00FA1C82">
      <w:pPr>
        <w:jc w:val="both"/>
        <w:rPr>
          <w:rFonts w:cs="Arial"/>
          <w:color w:val="000000"/>
        </w:rPr>
      </w:pPr>
    </w:p>
    <w:p w14:paraId="3C9EE8EC" w14:textId="77777777" w:rsidR="00FA1C82" w:rsidRPr="00FA1C82" w:rsidRDefault="00FA1C82" w:rsidP="00FA1C82">
      <w:pPr>
        <w:jc w:val="both"/>
        <w:rPr>
          <w:rFonts w:cs="Arial"/>
          <w:color w:val="000000"/>
        </w:rPr>
      </w:pPr>
      <w:r w:rsidRPr="00FA1C82">
        <w:rPr>
          <w:rFonts w:cs="Arial"/>
          <w:color w:val="000000"/>
        </w:rPr>
        <w:t xml:space="preserve">En 1995, la Guardia de Asistencia Rural, que siempre había pertenecido al Ministerio de Gobernación y Policía, fue traspasada al Ministerio de Seguridad Pública. Posteriormente, mediante el Decreto N° 24436-P de 16 de julio de 1995, publicado en el Diario Oficial La Gaceta N° 141 del 26 de julio de 1995, los dos Ministerios vuelven a tener un solo jerarca bajo el nombre de Ministerio de Gobernación y Policía y Ministerio de Seguridad Pública. </w:t>
      </w:r>
    </w:p>
    <w:p w14:paraId="375A7037" w14:textId="77777777" w:rsidR="00FA1C82" w:rsidRPr="00FA1C82" w:rsidRDefault="00FA1C82" w:rsidP="00FA1C82">
      <w:pPr>
        <w:jc w:val="both"/>
        <w:rPr>
          <w:rFonts w:cs="Arial"/>
          <w:color w:val="000000"/>
        </w:rPr>
      </w:pPr>
    </w:p>
    <w:p w14:paraId="238FB697" w14:textId="77777777" w:rsidR="00FA1C82" w:rsidRPr="00FA1C82" w:rsidRDefault="00FA1C82" w:rsidP="00FA1C82">
      <w:pPr>
        <w:pStyle w:val="Textoindependiente3"/>
        <w:rPr>
          <w:color w:val="000000"/>
          <w:szCs w:val="22"/>
        </w:rPr>
      </w:pPr>
      <w:r w:rsidRPr="00FA1C82">
        <w:rPr>
          <w:color w:val="000000"/>
          <w:szCs w:val="22"/>
        </w:rPr>
        <w:t>Para el año 2012 esta institución contaba con un solo Ministro para ambas carteras ministeriales (Gobernación y Policía y de Seguridad Pública) y compartían oficinas administrativas.  Sin embargo, para el año 2013 se inició un proceso de independencia creándose unidades administrativas para cada ministerio.</w:t>
      </w:r>
    </w:p>
    <w:p w14:paraId="5B5C72B4" w14:textId="77777777" w:rsidR="00FA1C82" w:rsidRPr="00FA1C82" w:rsidRDefault="00FA1C82" w:rsidP="00FA1C82">
      <w:pPr>
        <w:pStyle w:val="Textoindependiente3"/>
        <w:rPr>
          <w:color w:val="000000"/>
          <w:szCs w:val="22"/>
        </w:rPr>
      </w:pPr>
    </w:p>
    <w:p w14:paraId="04A957E8" w14:textId="77777777" w:rsidR="00FA1C82" w:rsidRPr="00FA1C82" w:rsidRDefault="00FA1C82" w:rsidP="00FA1C82">
      <w:pPr>
        <w:pStyle w:val="Textoindependiente3"/>
        <w:rPr>
          <w:color w:val="000000"/>
          <w:szCs w:val="22"/>
        </w:rPr>
      </w:pPr>
      <w:r w:rsidRPr="00FA1C82">
        <w:rPr>
          <w:color w:val="000000"/>
          <w:szCs w:val="22"/>
        </w:rPr>
        <w:t>Las funciones del Ministerio de Seguridad Pública son:</w:t>
      </w:r>
    </w:p>
    <w:p w14:paraId="6F9E2410" w14:textId="77777777" w:rsidR="00FA1C82" w:rsidRPr="00FA1C82" w:rsidRDefault="00FA1C82" w:rsidP="00FA1C82">
      <w:pPr>
        <w:numPr>
          <w:ilvl w:val="0"/>
          <w:numId w:val="34"/>
        </w:numPr>
        <w:jc w:val="both"/>
        <w:rPr>
          <w:rFonts w:eastAsia="Arial Unicode MS" w:cs="Arial"/>
        </w:rPr>
      </w:pPr>
      <w:r w:rsidRPr="00FA1C82">
        <w:rPr>
          <w:rFonts w:eastAsia="Arial Unicode MS" w:cs="Arial"/>
        </w:rPr>
        <w:t>Velar por el respeto a las leyes, tratados y convenciones que garantizan la integridad del territorio nacional, aguas territoriales, plataforma continental, espacio aéreo de la República, y el ejercicio de los derechos que corresponden al Estado costarricense.</w:t>
      </w:r>
    </w:p>
    <w:p w14:paraId="20DA7047" w14:textId="77777777" w:rsidR="00FA1C82" w:rsidRPr="00FA1C82" w:rsidRDefault="00FA1C82" w:rsidP="00FA1C82">
      <w:pPr>
        <w:numPr>
          <w:ilvl w:val="0"/>
          <w:numId w:val="34"/>
        </w:numPr>
        <w:jc w:val="both"/>
        <w:rPr>
          <w:rFonts w:eastAsia="Arial Unicode MS" w:cs="Arial"/>
        </w:rPr>
      </w:pPr>
      <w:r w:rsidRPr="00FA1C82">
        <w:rPr>
          <w:rFonts w:eastAsia="Arial Unicode MS" w:cs="Arial"/>
        </w:rPr>
        <w:t>Resguardar el ejercicio y cuidar la observancia de la garantía constitucional.</w:t>
      </w:r>
    </w:p>
    <w:p w14:paraId="77120E02" w14:textId="77777777" w:rsidR="00FA1C82" w:rsidRPr="00FA1C82" w:rsidRDefault="00FA1C82" w:rsidP="00FA1C82">
      <w:pPr>
        <w:numPr>
          <w:ilvl w:val="0"/>
          <w:numId w:val="34"/>
        </w:numPr>
        <w:jc w:val="both"/>
        <w:rPr>
          <w:rFonts w:eastAsia="Arial Unicode MS" w:cs="Arial"/>
        </w:rPr>
      </w:pPr>
      <w:r w:rsidRPr="00FA1C82">
        <w:rPr>
          <w:rFonts w:eastAsia="Arial Unicode MS" w:cs="Arial"/>
        </w:rPr>
        <w:t>Vigilar y conservar la tranquilidad y orden públicos en el territorio nacional, aguas territoriales, plataforma continental y espacio aéreo de la República.</w:t>
      </w:r>
    </w:p>
    <w:p w14:paraId="0AB0681A" w14:textId="77777777" w:rsidR="00FA1C82" w:rsidRPr="00FA1C82" w:rsidRDefault="00FA1C82" w:rsidP="00FA1C82">
      <w:pPr>
        <w:numPr>
          <w:ilvl w:val="0"/>
          <w:numId w:val="34"/>
        </w:numPr>
        <w:jc w:val="both"/>
        <w:rPr>
          <w:rFonts w:eastAsia="Arial Unicode MS" w:cs="Arial"/>
        </w:rPr>
      </w:pPr>
      <w:r w:rsidRPr="00FA1C82">
        <w:rPr>
          <w:rFonts w:eastAsia="Arial Unicode MS" w:cs="Arial"/>
        </w:rPr>
        <w:t>Mantener la seguridad y el respeto por los bienes y derechos de los habitantes del país.</w:t>
      </w:r>
    </w:p>
    <w:p w14:paraId="2C966D36" w14:textId="77777777" w:rsidR="00FA1C82" w:rsidRPr="00FA1C82" w:rsidRDefault="00FA1C82" w:rsidP="00FA1C82">
      <w:pPr>
        <w:numPr>
          <w:ilvl w:val="0"/>
          <w:numId w:val="34"/>
        </w:numPr>
        <w:jc w:val="both"/>
        <w:rPr>
          <w:rFonts w:cs="Arial"/>
        </w:rPr>
      </w:pPr>
      <w:r w:rsidRPr="00FA1C82">
        <w:rPr>
          <w:rFonts w:eastAsia="Arial Unicode MS" w:cs="Arial"/>
        </w:rPr>
        <w:t>Cumplir y hacer cumplir las sentencias y resoluciones judiciales y acatar todo lo que resuelvan, en asuntos de su competencia, la Asamblea Legislativa y el Tribunal Supremo de Elecciones.</w:t>
      </w:r>
    </w:p>
    <w:p w14:paraId="21E87A33" w14:textId="77777777" w:rsidR="00FA1C82" w:rsidRPr="00FA1C82" w:rsidRDefault="00FA1C82" w:rsidP="00FA1C82">
      <w:pPr>
        <w:numPr>
          <w:ilvl w:val="0"/>
          <w:numId w:val="34"/>
        </w:numPr>
        <w:jc w:val="both"/>
        <w:rPr>
          <w:rFonts w:cs="Arial"/>
        </w:rPr>
      </w:pPr>
      <w:r w:rsidRPr="00FA1C82">
        <w:rPr>
          <w:rFonts w:eastAsia="Arial Unicode MS" w:cs="Arial"/>
        </w:rPr>
        <w:t>Prestar la colaboración que le soliciten los Tribunales de Justicia o la Procuraduría General de la República.</w:t>
      </w:r>
    </w:p>
    <w:p w14:paraId="6EA4B83D" w14:textId="77777777" w:rsidR="00FA1C82" w:rsidRPr="00FA1C82" w:rsidRDefault="00FA1C82" w:rsidP="00FA1C82">
      <w:pPr>
        <w:numPr>
          <w:ilvl w:val="0"/>
          <w:numId w:val="34"/>
        </w:numPr>
        <w:jc w:val="both"/>
        <w:rPr>
          <w:rFonts w:eastAsia="Arial Unicode MS" w:cs="Arial"/>
        </w:rPr>
      </w:pPr>
      <w:r w:rsidRPr="00FA1C82">
        <w:rPr>
          <w:rFonts w:eastAsia="Arial Unicode MS" w:cs="Arial"/>
        </w:rPr>
        <w:t>Prevenir e investigar la ejecución de delitos, faltas y otras infracciones punibles, y al efecto aprehender a los delincuentes o indiciados, efectuar decomisos, y ponerlos a la disposición de la autoridad competente.</w:t>
      </w:r>
    </w:p>
    <w:p w14:paraId="403CE177" w14:textId="77777777" w:rsidR="00FA1C82" w:rsidRPr="00FA1C82" w:rsidRDefault="00FA1C82" w:rsidP="00FA1C82">
      <w:pPr>
        <w:numPr>
          <w:ilvl w:val="0"/>
          <w:numId w:val="34"/>
        </w:numPr>
        <w:jc w:val="both"/>
        <w:rPr>
          <w:rFonts w:eastAsia="Arial Unicode MS" w:cs="Arial"/>
        </w:rPr>
      </w:pPr>
      <w:r w:rsidRPr="00FA1C82">
        <w:rPr>
          <w:rFonts w:eastAsia="Arial Unicode MS" w:cs="Arial"/>
        </w:rPr>
        <w:t>Colaborar sobre bases de reciprocidad con las organizaciones internacionales de policía, de conformidad con los convenios vigentes, en la prevención, investigación y represión del delito.</w:t>
      </w:r>
    </w:p>
    <w:p w14:paraId="7AA25BE2" w14:textId="77777777" w:rsidR="00FA1C82" w:rsidRPr="00FA1C82" w:rsidRDefault="00FA1C82" w:rsidP="00FA1C82">
      <w:pPr>
        <w:numPr>
          <w:ilvl w:val="0"/>
          <w:numId w:val="34"/>
        </w:numPr>
        <w:jc w:val="both"/>
        <w:rPr>
          <w:rFonts w:eastAsia="Arial Unicode MS" w:cs="Arial"/>
        </w:rPr>
      </w:pPr>
      <w:r w:rsidRPr="00FA1C82">
        <w:rPr>
          <w:rFonts w:eastAsia="Arial Unicode MS" w:cs="Arial"/>
        </w:rPr>
        <w:t>Suministrar auxilio y colaboración a las comunidades, especialmente en casos de emergencia nacional o conmoción pública, al igual que las municipalidades y organizaciones de servicio público.</w:t>
      </w:r>
    </w:p>
    <w:p w14:paraId="41ABDC25" w14:textId="77777777" w:rsidR="00FA1C82" w:rsidRPr="00FA1C82" w:rsidRDefault="00FA1C82" w:rsidP="00FA1C82">
      <w:pPr>
        <w:numPr>
          <w:ilvl w:val="0"/>
          <w:numId w:val="34"/>
        </w:numPr>
        <w:jc w:val="both"/>
        <w:rPr>
          <w:rFonts w:eastAsia="Arial Unicode MS" w:cs="Arial"/>
        </w:rPr>
      </w:pPr>
      <w:r w:rsidRPr="00FA1C82">
        <w:rPr>
          <w:rFonts w:eastAsia="Arial Unicode MS" w:cs="Arial"/>
        </w:rPr>
        <w:t>Dirigir, administrar y controlar el movimiento migratorio en el país.</w:t>
      </w:r>
    </w:p>
    <w:p w14:paraId="792958C5" w14:textId="77777777" w:rsidR="00FA1C82" w:rsidRPr="00FA1C82" w:rsidRDefault="00FA1C82" w:rsidP="00FA1C82">
      <w:pPr>
        <w:numPr>
          <w:ilvl w:val="0"/>
          <w:numId w:val="34"/>
        </w:numPr>
        <w:jc w:val="both"/>
        <w:rPr>
          <w:rFonts w:eastAsia="Arial Unicode MS" w:cs="Arial"/>
        </w:rPr>
      </w:pPr>
      <w:r w:rsidRPr="00FA1C82">
        <w:rPr>
          <w:rFonts w:eastAsia="Arial Unicode MS" w:cs="Arial"/>
        </w:rPr>
        <w:t>Vigilar por el cumplimiento de las leyes, reglamentos y disposiciones relativos al tránsito.</w:t>
      </w:r>
    </w:p>
    <w:p w14:paraId="423F7BE5" w14:textId="77777777" w:rsidR="00FA1C82" w:rsidRPr="00FA1C82" w:rsidRDefault="00FA1C82" w:rsidP="00FA1C82">
      <w:pPr>
        <w:numPr>
          <w:ilvl w:val="0"/>
          <w:numId w:val="34"/>
        </w:numPr>
        <w:jc w:val="both"/>
        <w:rPr>
          <w:rFonts w:eastAsia="Arial Unicode MS" w:cs="Arial"/>
        </w:rPr>
      </w:pPr>
      <w:r w:rsidRPr="00FA1C82">
        <w:rPr>
          <w:rFonts w:eastAsia="Arial Unicode MS" w:cs="Arial"/>
        </w:rPr>
        <w:t>Mantener los registros de armas y explosivos y cualesquiera otros indispensables para el cumplimiento de sus obligaciones.</w:t>
      </w:r>
    </w:p>
    <w:p w14:paraId="1880E3A0" w14:textId="77777777" w:rsidR="00FA1C82" w:rsidRPr="00FA1C82" w:rsidRDefault="00FA1C82" w:rsidP="00FA1C82">
      <w:pPr>
        <w:numPr>
          <w:ilvl w:val="0"/>
          <w:numId w:val="34"/>
        </w:numPr>
        <w:jc w:val="both"/>
        <w:rPr>
          <w:rFonts w:eastAsia="Arial Unicode MS" w:cs="Arial"/>
        </w:rPr>
      </w:pPr>
      <w:r w:rsidRPr="00FA1C82">
        <w:rPr>
          <w:rFonts w:eastAsia="Arial Unicode MS" w:cs="Arial"/>
        </w:rPr>
        <w:t>Nombrar, adiestrar, asignar, promover y sancionar al personal del Ministerio.</w:t>
      </w:r>
    </w:p>
    <w:p w14:paraId="23A92607" w14:textId="77777777" w:rsidR="00FA1C82" w:rsidRPr="00FA1C82" w:rsidRDefault="00FA1C82" w:rsidP="00FA1C82">
      <w:pPr>
        <w:numPr>
          <w:ilvl w:val="0"/>
          <w:numId w:val="34"/>
        </w:numPr>
        <w:jc w:val="both"/>
        <w:rPr>
          <w:rFonts w:eastAsia="Arial Unicode MS" w:cs="Arial"/>
        </w:rPr>
      </w:pPr>
      <w:r w:rsidRPr="00FA1C82">
        <w:rPr>
          <w:rFonts w:eastAsia="Arial Unicode MS" w:cs="Arial"/>
        </w:rPr>
        <w:t>Emitir, conjuntamente con el Presidente de la República, los decretos, acuerdos y resoluciones de su competencia.</w:t>
      </w:r>
    </w:p>
    <w:p w14:paraId="2B249729" w14:textId="77777777" w:rsidR="00FA1C82" w:rsidRPr="00FA1C82" w:rsidRDefault="00FA1C82" w:rsidP="00FA1C82">
      <w:pPr>
        <w:numPr>
          <w:ilvl w:val="0"/>
          <w:numId w:val="34"/>
        </w:numPr>
        <w:jc w:val="both"/>
        <w:rPr>
          <w:rFonts w:eastAsia="Arial Unicode MS" w:cs="Arial"/>
        </w:rPr>
      </w:pPr>
      <w:r w:rsidRPr="00FA1C82">
        <w:rPr>
          <w:rFonts w:eastAsia="Arial Unicode MS" w:cs="Arial"/>
        </w:rPr>
        <w:lastRenderedPageBreak/>
        <w:t>Establecer, organizar y coordinar todos los cuerpos y autoridades de policías del país necesarios para el cumplimiento de sus deberes y atribuciones.</w:t>
      </w:r>
    </w:p>
    <w:p w14:paraId="35C7D7B6" w14:textId="77777777" w:rsidR="00FA1C82" w:rsidRPr="00FA1C82" w:rsidRDefault="00FA1C82" w:rsidP="00FA1C82">
      <w:pPr>
        <w:numPr>
          <w:ilvl w:val="1"/>
          <w:numId w:val="18"/>
        </w:numPr>
        <w:jc w:val="both"/>
        <w:rPr>
          <w:rFonts w:cs="Arial"/>
          <w:bCs/>
        </w:rPr>
      </w:pPr>
      <w:r w:rsidRPr="00FA1C82">
        <w:rPr>
          <w:rFonts w:cs="Arial"/>
          <w:bCs/>
        </w:rPr>
        <w:t xml:space="preserve"> HISTORIA ARCHIVÍSTICA: </w:t>
      </w:r>
    </w:p>
    <w:p w14:paraId="4EAB3676" w14:textId="77777777" w:rsidR="00FA1C82" w:rsidRPr="00FA1C82" w:rsidRDefault="00FA1C82" w:rsidP="00FA1C82">
      <w:pPr>
        <w:autoSpaceDE w:val="0"/>
        <w:autoSpaceDN w:val="0"/>
        <w:adjustRightInd w:val="0"/>
        <w:jc w:val="both"/>
        <w:rPr>
          <w:rFonts w:cs="Arial"/>
          <w:bCs/>
          <w:lang w:val="es-ES"/>
        </w:rPr>
      </w:pPr>
      <w:r w:rsidRPr="00FA1C82">
        <w:rPr>
          <w:rFonts w:cs="Arial"/>
        </w:rPr>
        <w:t>Estos documentos estuvieron bajo la custodia de las oficinas productoras y Archivo Central del Ministerio de Seguridad Pública antes de iniciar su traslado al Archivo Nacional.</w:t>
      </w:r>
    </w:p>
    <w:p w14:paraId="19552270" w14:textId="77777777" w:rsidR="00FA1C82" w:rsidRPr="00FA1C82" w:rsidRDefault="00FA1C82" w:rsidP="00FA1C82">
      <w:pPr>
        <w:jc w:val="both"/>
        <w:rPr>
          <w:rFonts w:cs="Arial"/>
        </w:rPr>
      </w:pPr>
    </w:p>
    <w:p w14:paraId="7216E6CB" w14:textId="77777777" w:rsidR="00FA1C82" w:rsidRPr="00FA1C82" w:rsidRDefault="00FA1C82" w:rsidP="00FA1C82">
      <w:pPr>
        <w:numPr>
          <w:ilvl w:val="1"/>
          <w:numId w:val="18"/>
        </w:numPr>
        <w:jc w:val="both"/>
        <w:rPr>
          <w:rFonts w:cs="Arial"/>
        </w:rPr>
      </w:pPr>
      <w:r w:rsidRPr="00FA1C82">
        <w:rPr>
          <w:rFonts w:cs="Arial"/>
          <w:bCs/>
        </w:rPr>
        <w:t xml:space="preserve"> FORMA DE INGRESO: </w:t>
      </w:r>
      <w:r w:rsidRPr="00FA1C82">
        <w:rPr>
          <w:rFonts w:cs="Arial"/>
        </w:rPr>
        <w:t xml:space="preserve">Transferencia </w:t>
      </w:r>
    </w:p>
    <w:p w14:paraId="73A0FE37" w14:textId="77777777" w:rsidR="00FA1C82" w:rsidRPr="00FA1C82" w:rsidRDefault="00FA1C82" w:rsidP="00FA1C82">
      <w:pPr>
        <w:jc w:val="both"/>
        <w:rPr>
          <w:rFonts w:cs="Arial"/>
        </w:rPr>
      </w:pPr>
    </w:p>
    <w:p w14:paraId="02458995"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CONTENIDO Y ESTRUCTURA</w:t>
      </w:r>
    </w:p>
    <w:p w14:paraId="40BBC783" w14:textId="77777777" w:rsidR="00FA1C82" w:rsidRPr="00FA1C82" w:rsidRDefault="00FA1C82" w:rsidP="00FA1C82">
      <w:pPr>
        <w:jc w:val="both"/>
        <w:rPr>
          <w:rFonts w:cs="Arial"/>
        </w:rPr>
      </w:pPr>
    </w:p>
    <w:p w14:paraId="7EE1B0C6" w14:textId="77777777" w:rsidR="00FA1C82" w:rsidRPr="00FA1C82" w:rsidRDefault="00FA1C82" w:rsidP="00FA1C82">
      <w:pPr>
        <w:numPr>
          <w:ilvl w:val="1"/>
          <w:numId w:val="18"/>
        </w:numPr>
        <w:jc w:val="both"/>
        <w:rPr>
          <w:rFonts w:cs="Arial"/>
          <w:bCs/>
        </w:rPr>
      </w:pPr>
      <w:r w:rsidRPr="00FA1C82">
        <w:rPr>
          <w:rFonts w:cs="Arial"/>
          <w:bCs/>
        </w:rPr>
        <w:t xml:space="preserve"> ALCANCE Y CONTENIDO:</w:t>
      </w:r>
    </w:p>
    <w:p w14:paraId="33479803" w14:textId="77777777" w:rsidR="00FA1C82" w:rsidRPr="00FA1C82" w:rsidRDefault="00FA1C82" w:rsidP="00FA1C82">
      <w:pPr>
        <w:autoSpaceDE w:val="0"/>
        <w:autoSpaceDN w:val="0"/>
        <w:adjustRightInd w:val="0"/>
        <w:jc w:val="both"/>
        <w:rPr>
          <w:rFonts w:cs="Arial"/>
          <w:lang w:val="es-ES"/>
        </w:rPr>
      </w:pPr>
      <w:r w:rsidRPr="00FA1C82">
        <w:rPr>
          <w:rFonts w:cs="Arial"/>
        </w:rPr>
        <w:t>Contiene correspondencia, recortes de periódico, expedientes relacionados con la seguridad nacional e investigaciones policiales, órdenes de captura, sobreseimientos, partes, expedientes sobre exilios, extradiciones, fianzas, decomisos, administración de aduanas, patentes de navegación, campos de concentración, declaraciones de inmigración, nombramientos militares, venta de armas y explosivos, permisos de residencia, entrada de pasajeros al aeropuerto La Sabana, movimientos de reos, contratos de alimentación y confección de vestuario, inspección de lanchas, visas, registro de pasaportes, instrumentos musicales, bandas militares, deportaciones, fiestas populares, embargos, narcotráfico, sindicalismo, incidencias policiales e investigaciones de la Dirección General de Detectives.</w:t>
      </w:r>
    </w:p>
    <w:p w14:paraId="5C9F7D23" w14:textId="77777777" w:rsidR="00FA1C82" w:rsidRPr="00FA1C82" w:rsidRDefault="00FA1C82" w:rsidP="00FA1C82">
      <w:pPr>
        <w:jc w:val="both"/>
        <w:rPr>
          <w:rFonts w:cs="Arial"/>
        </w:rPr>
      </w:pPr>
    </w:p>
    <w:p w14:paraId="6D907D95" w14:textId="77777777" w:rsidR="00FA1C82" w:rsidRPr="00FA1C82" w:rsidRDefault="00FA1C82" w:rsidP="00FA1C82">
      <w:pPr>
        <w:numPr>
          <w:ilvl w:val="1"/>
          <w:numId w:val="18"/>
        </w:numPr>
        <w:ind w:left="0" w:firstLine="0"/>
        <w:jc w:val="both"/>
        <w:rPr>
          <w:rFonts w:cs="Arial"/>
        </w:rPr>
      </w:pPr>
      <w:r w:rsidRPr="00FA1C82">
        <w:rPr>
          <w:rFonts w:cs="Arial"/>
          <w:bCs/>
        </w:rPr>
        <w:t xml:space="preserve">VALORACIÓN, SELECCIÓN Y ELIMINACIÓN: </w:t>
      </w:r>
      <w:r w:rsidRPr="00FA1C82">
        <w:rPr>
          <w:rFonts w:cs="Arial"/>
        </w:rPr>
        <w:t>Valor científico cultural y conservación permanente.  Valorada de conformidad con la Ley 3661 del 10 de enero de 1966 y con la Ley 7202 del 24 de octubre de 1990.</w:t>
      </w:r>
    </w:p>
    <w:p w14:paraId="5B2E9D1C" w14:textId="77777777" w:rsidR="00FA1C82" w:rsidRPr="00FA1C82" w:rsidRDefault="00FA1C82" w:rsidP="00FA1C82">
      <w:pPr>
        <w:jc w:val="both"/>
        <w:rPr>
          <w:rFonts w:cs="Arial"/>
        </w:rPr>
      </w:pPr>
    </w:p>
    <w:p w14:paraId="2076F880" w14:textId="2D54A7A4" w:rsidR="00FA1C82" w:rsidRDefault="00FA1C82" w:rsidP="00FA1C82">
      <w:pPr>
        <w:numPr>
          <w:ilvl w:val="1"/>
          <w:numId w:val="18"/>
        </w:numPr>
        <w:jc w:val="both"/>
        <w:rPr>
          <w:rFonts w:cs="Arial"/>
        </w:rPr>
      </w:pPr>
      <w:r w:rsidRPr="00FA1C82">
        <w:rPr>
          <w:rFonts w:cs="Arial"/>
          <w:bCs/>
        </w:rPr>
        <w:t xml:space="preserve"> NUEVOS INGRESOS: </w:t>
      </w:r>
      <w:r w:rsidR="00D90EC3">
        <w:rPr>
          <w:rFonts w:cs="Arial"/>
        </w:rPr>
        <w:t>Fondo Abierto</w:t>
      </w:r>
    </w:p>
    <w:p w14:paraId="23B0192B" w14:textId="77777777" w:rsidR="00D90EC3" w:rsidRPr="00D90EC3" w:rsidRDefault="00D90EC3" w:rsidP="00D90EC3">
      <w:pPr>
        <w:ind w:left="420"/>
        <w:jc w:val="both"/>
        <w:rPr>
          <w:rFonts w:cs="Arial"/>
        </w:rPr>
      </w:pPr>
    </w:p>
    <w:p w14:paraId="0F2808F7" w14:textId="7D93F998" w:rsidR="00FA1C82" w:rsidRPr="00FA1C82" w:rsidRDefault="00FA1C82" w:rsidP="00FA1C82">
      <w:pPr>
        <w:numPr>
          <w:ilvl w:val="1"/>
          <w:numId w:val="18"/>
        </w:numPr>
        <w:jc w:val="both"/>
        <w:rPr>
          <w:rFonts w:cs="Arial"/>
        </w:rPr>
      </w:pPr>
      <w:r w:rsidRPr="00FA1C82">
        <w:rPr>
          <w:rFonts w:cs="Arial"/>
          <w:bCs/>
        </w:rPr>
        <w:t xml:space="preserve">ORGANIZACIÓN: </w:t>
      </w:r>
      <w:r w:rsidRPr="00FA1C82">
        <w:rPr>
          <w:rFonts w:cs="Arial"/>
        </w:rPr>
        <w:t xml:space="preserve">Documentos con ordenación numérica consecutiva. La estructura interna del fondo es la siguiente: </w:t>
      </w:r>
    </w:p>
    <w:p w14:paraId="0DECA3A1" w14:textId="77777777" w:rsidR="00FA1C82" w:rsidRPr="00FA1C82" w:rsidRDefault="00FA1C82" w:rsidP="00FA1C82">
      <w:pPr>
        <w:jc w:val="both"/>
        <w:rPr>
          <w:rFonts w:cs="Arial"/>
        </w:rPr>
      </w:pPr>
    </w:p>
    <w:p w14:paraId="4A4E1E4C" w14:textId="77777777" w:rsidR="00FA1C82" w:rsidRPr="00FA1C82" w:rsidRDefault="00FA1C82" w:rsidP="00FA1C82">
      <w:pPr>
        <w:autoSpaceDE w:val="0"/>
        <w:autoSpaceDN w:val="0"/>
        <w:adjustRightInd w:val="0"/>
        <w:jc w:val="center"/>
        <w:rPr>
          <w:rFonts w:cs="Arial"/>
          <w:b/>
          <w:bCs/>
          <w:lang w:val="es-ES"/>
        </w:rPr>
      </w:pPr>
      <w:r w:rsidRPr="00FA1C82">
        <w:rPr>
          <w:rFonts w:cs="Arial"/>
          <w:b/>
          <w:bCs/>
        </w:rPr>
        <w:t>CUADRO DE CLASIFICACIÓN DEL ARCHIVO HISTÓRICO</w:t>
      </w:r>
    </w:p>
    <w:p w14:paraId="31ED160A" w14:textId="77777777" w:rsidR="00FA1C82" w:rsidRPr="00FA1C82" w:rsidRDefault="00FA1C82" w:rsidP="00FA1C82">
      <w:pPr>
        <w:pStyle w:val="Ttulo2"/>
        <w:autoSpaceDE w:val="0"/>
        <w:autoSpaceDN w:val="0"/>
        <w:adjustRightInd w:val="0"/>
        <w:jc w:val="center"/>
        <w:rPr>
          <w:rFonts w:ascii="Arial" w:hAnsi="Arial" w:cs="Arial"/>
          <w:color w:val="auto"/>
          <w:sz w:val="22"/>
          <w:szCs w:val="22"/>
          <w:lang w:val="es-ES"/>
        </w:rPr>
      </w:pPr>
      <w:r w:rsidRPr="00FA1C82">
        <w:rPr>
          <w:rFonts w:ascii="Arial" w:hAnsi="Arial" w:cs="Arial"/>
          <w:color w:val="auto"/>
          <w:sz w:val="22"/>
          <w:szCs w:val="22"/>
          <w:lang w:val="es-ES"/>
        </w:rPr>
        <w:t>FONDOS PÚBLICOS</w:t>
      </w:r>
    </w:p>
    <w:p w14:paraId="6F733B99" w14:textId="77777777" w:rsidR="00FA1C82" w:rsidRPr="00D90EC3" w:rsidRDefault="00FA1C82" w:rsidP="00FA1C82">
      <w:pPr>
        <w:jc w:val="both"/>
        <w:rPr>
          <w:rFonts w:cs="Arial"/>
          <w:b/>
          <w:lang w:val="es-ES"/>
        </w:rPr>
      </w:pPr>
    </w:p>
    <w:tbl>
      <w:tblPr>
        <w:tblStyle w:val="Tablaconcuadrcula"/>
        <w:tblW w:w="9389" w:type="dxa"/>
        <w:jc w:val="center"/>
        <w:tblLook w:val="04A0" w:firstRow="1" w:lastRow="0" w:firstColumn="1" w:lastColumn="0" w:noHBand="0" w:noVBand="1"/>
        <w:tblCaption w:val="Organización"/>
        <w:tblDescription w:val="Se muestra la organización del fondo en el Cuadro de Clasificación del Archivo Histórico"/>
      </w:tblPr>
      <w:tblGrid>
        <w:gridCol w:w="1258"/>
        <w:gridCol w:w="1083"/>
        <w:gridCol w:w="1515"/>
        <w:gridCol w:w="2183"/>
        <w:gridCol w:w="1994"/>
        <w:gridCol w:w="1356"/>
      </w:tblGrid>
      <w:tr w:rsidR="00FA1C82" w:rsidRPr="00D90EC3" w14:paraId="769F7309" w14:textId="77777777" w:rsidTr="00D90EC3">
        <w:trPr>
          <w:tblHeader/>
          <w:jc w:val="center"/>
        </w:trPr>
        <w:tc>
          <w:tcPr>
            <w:tcW w:w="1366" w:type="dxa"/>
            <w:vAlign w:val="center"/>
            <w:hideMark/>
          </w:tcPr>
          <w:p w14:paraId="32C23EBD" w14:textId="77777777" w:rsidR="00FA1C82" w:rsidRPr="00D90EC3" w:rsidRDefault="00FA1C82" w:rsidP="00D90EC3">
            <w:pPr>
              <w:jc w:val="center"/>
              <w:rPr>
                <w:rFonts w:cs="Arial"/>
                <w:b/>
                <w:bCs/>
                <w:lang w:val="es-ES"/>
              </w:rPr>
            </w:pPr>
            <w:r w:rsidRPr="00D90EC3">
              <w:rPr>
                <w:rFonts w:cs="Arial"/>
                <w:b/>
                <w:bCs/>
              </w:rPr>
              <w:t>FONDO</w:t>
            </w:r>
          </w:p>
          <w:p w14:paraId="60EDB0B3" w14:textId="77777777" w:rsidR="00FA1C82" w:rsidRPr="00D90EC3" w:rsidRDefault="00FA1C82" w:rsidP="00D90EC3">
            <w:pPr>
              <w:jc w:val="center"/>
              <w:rPr>
                <w:rFonts w:cs="Arial"/>
                <w:b/>
                <w:bCs/>
                <w:lang w:val="es-ES"/>
              </w:rPr>
            </w:pPr>
            <w:r w:rsidRPr="00D90EC3">
              <w:rPr>
                <w:rFonts w:cs="Arial"/>
                <w:b/>
                <w:bCs/>
              </w:rPr>
              <w:t>NIVEL I</w:t>
            </w:r>
          </w:p>
        </w:tc>
        <w:tc>
          <w:tcPr>
            <w:tcW w:w="1279" w:type="dxa"/>
            <w:vAlign w:val="center"/>
            <w:hideMark/>
          </w:tcPr>
          <w:p w14:paraId="19A0AD47" w14:textId="77777777" w:rsidR="00FA1C82" w:rsidRPr="00D90EC3" w:rsidRDefault="00FA1C82" w:rsidP="00D90EC3">
            <w:pPr>
              <w:jc w:val="center"/>
              <w:rPr>
                <w:rFonts w:cs="Arial"/>
                <w:b/>
                <w:bCs/>
                <w:lang w:val="es-ES"/>
              </w:rPr>
            </w:pPr>
            <w:r w:rsidRPr="00D90EC3">
              <w:rPr>
                <w:rFonts w:cs="Arial"/>
                <w:b/>
                <w:bCs/>
              </w:rPr>
              <w:t>FONDO NIVEL II</w:t>
            </w:r>
          </w:p>
        </w:tc>
        <w:tc>
          <w:tcPr>
            <w:tcW w:w="1624" w:type="dxa"/>
            <w:vAlign w:val="center"/>
            <w:hideMark/>
          </w:tcPr>
          <w:p w14:paraId="442445FF" w14:textId="77777777" w:rsidR="00FA1C82" w:rsidRPr="00D90EC3" w:rsidRDefault="00FA1C82" w:rsidP="00D90EC3">
            <w:pPr>
              <w:jc w:val="center"/>
              <w:rPr>
                <w:rFonts w:cs="Arial"/>
                <w:b/>
                <w:bCs/>
                <w:lang w:val="es-ES"/>
              </w:rPr>
            </w:pPr>
            <w:r w:rsidRPr="00D90EC3">
              <w:rPr>
                <w:rFonts w:cs="Arial"/>
                <w:b/>
                <w:bCs/>
              </w:rPr>
              <w:t>SUBFONDO I</w:t>
            </w:r>
          </w:p>
        </w:tc>
        <w:tc>
          <w:tcPr>
            <w:tcW w:w="1683" w:type="dxa"/>
            <w:vAlign w:val="center"/>
            <w:hideMark/>
          </w:tcPr>
          <w:p w14:paraId="3E9E333C" w14:textId="77777777" w:rsidR="00FA1C82" w:rsidRPr="00D90EC3" w:rsidRDefault="00FA1C82" w:rsidP="00D90EC3">
            <w:pPr>
              <w:pStyle w:val="Ttulo3"/>
              <w:ind w:left="708" w:firstLine="0"/>
              <w:outlineLvl w:val="2"/>
              <w:rPr>
                <w:sz w:val="22"/>
                <w:szCs w:val="22"/>
                <w:lang w:eastAsia="es-ES"/>
              </w:rPr>
            </w:pPr>
            <w:r w:rsidRPr="00D90EC3">
              <w:rPr>
                <w:sz w:val="22"/>
                <w:szCs w:val="22"/>
              </w:rPr>
              <w:t>SUBFONDO II</w:t>
            </w:r>
          </w:p>
        </w:tc>
        <w:tc>
          <w:tcPr>
            <w:tcW w:w="2038" w:type="dxa"/>
            <w:vAlign w:val="center"/>
            <w:hideMark/>
          </w:tcPr>
          <w:p w14:paraId="56205857" w14:textId="77777777" w:rsidR="00FA1C82" w:rsidRPr="00D90EC3" w:rsidRDefault="00FA1C82" w:rsidP="00D90EC3">
            <w:pPr>
              <w:jc w:val="center"/>
              <w:rPr>
                <w:rFonts w:cs="Arial"/>
                <w:b/>
                <w:bCs/>
                <w:lang w:val="es-ES"/>
              </w:rPr>
            </w:pPr>
            <w:r w:rsidRPr="00D90EC3">
              <w:rPr>
                <w:rFonts w:cs="Arial"/>
                <w:b/>
                <w:bCs/>
              </w:rPr>
              <w:t>SERIE</w:t>
            </w:r>
          </w:p>
        </w:tc>
        <w:tc>
          <w:tcPr>
            <w:tcW w:w="1399" w:type="dxa"/>
            <w:vAlign w:val="center"/>
            <w:hideMark/>
          </w:tcPr>
          <w:p w14:paraId="31E9EFC0" w14:textId="77777777" w:rsidR="00FA1C82" w:rsidRPr="00D90EC3" w:rsidRDefault="00FA1C82" w:rsidP="00D90EC3">
            <w:pPr>
              <w:jc w:val="center"/>
              <w:rPr>
                <w:rFonts w:cs="Arial"/>
                <w:b/>
                <w:bCs/>
                <w:lang w:val="es-ES"/>
              </w:rPr>
            </w:pPr>
            <w:r w:rsidRPr="00D90EC3">
              <w:rPr>
                <w:rFonts w:cs="Arial"/>
                <w:b/>
                <w:bCs/>
              </w:rPr>
              <w:t>SUBSERIE</w:t>
            </w:r>
          </w:p>
        </w:tc>
      </w:tr>
      <w:tr w:rsidR="00FA1C82" w:rsidRPr="00FA1C82" w14:paraId="063F3A56" w14:textId="77777777" w:rsidTr="00D90EC3">
        <w:trPr>
          <w:trHeight w:val="543"/>
          <w:jc w:val="center"/>
        </w:trPr>
        <w:tc>
          <w:tcPr>
            <w:tcW w:w="1366" w:type="dxa"/>
            <w:hideMark/>
          </w:tcPr>
          <w:p w14:paraId="5E0D1BC0" w14:textId="77777777" w:rsidR="00FA1C82" w:rsidRPr="00FA1C82" w:rsidRDefault="00FA1C82" w:rsidP="00FA1C82">
            <w:pPr>
              <w:jc w:val="both"/>
              <w:rPr>
                <w:rFonts w:cs="Arial"/>
                <w:bCs/>
                <w:lang w:val="es-ES"/>
              </w:rPr>
            </w:pPr>
            <w:r w:rsidRPr="00FA1C82">
              <w:rPr>
                <w:rFonts w:cs="Arial"/>
              </w:rPr>
              <w:t>Ministerio de Seguridad Pública</w:t>
            </w:r>
          </w:p>
        </w:tc>
        <w:tc>
          <w:tcPr>
            <w:tcW w:w="1279" w:type="dxa"/>
          </w:tcPr>
          <w:p w14:paraId="37EE7BC7" w14:textId="77777777" w:rsidR="00FA1C82" w:rsidRPr="00FA1C82" w:rsidRDefault="00FA1C82" w:rsidP="00FA1C82">
            <w:pPr>
              <w:jc w:val="both"/>
              <w:rPr>
                <w:rFonts w:cs="Arial"/>
                <w:bCs/>
                <w:lang w:val="es-ES"/>
              </w:rPr>
            </w:pPr>
          </w:p>
        </w:tc>
        <w:tc>
          <w:tcPr>
            <w:tcW w:w="1624" w:type="dxa"/>
          </w:tcPr>
          <w:p w14:paraId="530F51C4" w14:textId="77777777" w:rsidR="00FA1C82" w:rsidRPr="00FA1C82" w:rsidRDefault="00FA1C82" w:rsidP="00FA1C82">
            <w:pPr>
              <w:jc w:val="both"/>
              <w:rPr>
                <w:rFonts w:cs="Arial"/>
                <w:bCs/>
                <w:lang w:val="es-ES"/>
              </w:rPr>
            </w:pPr>
          </w:p>
        </w:tc>
        <w:tc>
          <w:tcPr>
            <w:tcW w:w="1683" w:type="dxa"/>
          </w:tcPr>
          <w:p w14:paraId="0DC0A931" w14:textId="77777777" w:rsidR="00FA1C82" w:rsidRPr="00FA1C82" w:rsidRDefault="00FA1C82" w:rsidP="00FA1C82">
            <w:pPr>
              <w:jc w:val="both"/>
              <w:rPr>
                <w:rFonts w:cs="Arial"/>
                <w:bCs/>
                <w:lang w:val="es-ES"/>
              </w:rPr>
            </w:pPr>
          </w:p>
        </w:tc>
        <w:tc>
          <w:tcPr>
            <w:tcW w:w="2038" w:type="dxa"/>
            <w:hideMark/>
          </w:tcPr>
          <w:p w14:paraId="3327803D" w14:textId="77777777" w:rsidR="00FA1C82" w:rsidRPr="00FA1C82" w:rsidRDefault="00FA1C82" w:rsidP="00FA1C82">
            <w:pPr>
              <w:jc w:val="both"/>
              <w:rPr>
                <w:rFonts w:cs="Arial"/>
                <w:lang w:val="es-ES"/>
              </w:rPr>
            </w:pPr>
            <w:r w:rsidRPr="00FA1C82">
              <w:rPr>
                <w:rFonts w:cs="Arial"/>
                <w:color w:val="000000"/>
              </w:rPr>
              <w:t>Correspondencia* (COR)</w:t>
            </w:r>
          </w:p>
        </w:tc>
        <w:tc>
          <w:tcPr>
            <w:tcW w:w="1399" w:type="dxa"/>
          </w:tcPr>
          <w:p w14:paraId="0D6F69EC" w14:textId="77777777" w:rsidR="00FA1C82" w:rsidRPr="00FA1C82" w:rsidRDefault="00FA1C82" w:rsidP="00FA1C82">
            <w:pPr>
              <w:jc w:val="both"/>
              <w:rPr>
                <w:rFonts w:cs="Arial"/>
                <w:bCs/>
                <w:lang w:val="es-ES"/>
              </w:rPr>
            </w:pPr>
          </w:p>
        </w:tc>
      </w:tr>
      <w:tr w:rsidR="00FA1C82" w:rsidRPr="00FA1C82" w14:paraId="4038709B" w14:textId="77777777" w:rsidTr="00D90EC3">
        <w:trPr>
          <w:jc w:val="center"/>
        </w:trPr>
        <w:tc>
          <w:tcPr>
            <w:tcW w:w="1366" w:type="dxa"/>
          </w:tcPr>
          <w:p w14:paraId="42ADA02D" w14:textId="77777777" w:rsidR="00FA1C82" w:rsidRPr="00FA1C82" w:rsidRDefault="00FA1C82" w:rsidP="00FA1C82">
            <w:pPr>
              <w:jc w:val="both"/>
              <w:rPr>
                <w:rFonts w:cs="Arial"/>
                <w:lang w:val="es-ES"/>
              </w:rPr>
            </w:pPr>
          </w:p>
        </w:tc>
        <w:tc>
          <w:tcPr>
            <w:tcW w:w="1279" w:type="dxa"/>
          </w:tcPr>
          <w:p w14:paraId="19E6BB43" w14:textId="77777777" w:rsidR="00FA1C82" w:rsidRPr="00FA1C82" w:rsidRDefault="00FA1C82" w:rsidP="00FA1C82">
            <w:pPr>
              <w:jc w:val="both"/>
              <w:rPr>
                <w:rFonts w:cs="Arial"/>
                <w:bCs/>
                <w:lang w:val="es-ES"/>
              </w:rPr>
            </w:pPr>
          </w:p>
        </w:tc>
        <w:tc>
          <w:tcPr>
            <w:tcW w:w="1624" w:type="dxa"/>
            <w:hideMark/>
          </w:tcPr>
          <w:p w14:paraId="43AAB5CF" w14:textId="77777777" w:rsidR="00FA1C82" w:rsidRPr="00FA1C82" w:rsidRDefault="00FA1C82" w:rsidP="00FA1C82">
            <w:pPr>
              <w:jc w:val="both"/>
              <w:rPr>
                <w:rFonts w:cs="Arial"/>
                <w:bCs/>
                <w:lang w:val="es-ES"/>
              </w:rPr>
            </w:pPr>
            <w:r w:rsidRPr="00FA1C82">
              <w:rPr>
                <w:rFonts w:cs="Arial"/>
                <w:color w:val="000000"/>
              </w:rPr>
              <w:t>Despacho del Ministro (DM)</w:t>
            </w:r>
          </w:p>
        </w:tc>
        <w:tc>
          <w:tcPr>
            <w:tcW w:w="1683" w:type="dxa"/>
          </w:tcPr>
          <w:p w14:paraId="070D9015" w14:textId="77777777" w:rsidR="00FA1C82" w:rsidRPr="00FA1C82" w:rsidRDefault="00FA1C82" w:rsidP="00FA1C82">
            <w:pPr>
              <w:jc w:val="both"/>
              <w:rPr>
                <w:rFonts w:cs="Arial"/>
                <w:bCs/>
                <w:lang w:val="es-ES"/>
              </w:rPr>
            </w:pPr>
          </w:p>
        </w:tc>
        <w:tc>
          <w:tcPr>
            <w:tcW w:w="2038" w:type="dxa"/>
            <w:hideMark/>
          </w:tcPr>
          <w:p w14:paraId="2E5D2CDA" w14:textId="77777777" w:rsidR="00FA1C82" w:rsidRPr="00FA1C82" w:rsidRDefault="00FA1C82" w:rsidP="00FA1C82">
            <w:pPr>
              <w:jc w:val="both"/>
              <w:rPr>
                <w:rFonts w:cs="Arial"/>
                <w:lang w:val="es-ES"/>
              </w:rPr>
            </w:pPr>
            <w:r w:rsidRPr="00FA1C82">
              <w:rPr>
                <w:rFonts w:cs="Arial"/>
                <w:color w:val="000000"/>
              </w:rPr>
              <w:t>Correspondencia* (COR)</w:t>
            </w:r>
          </w:p>
        </w:tc>
        <w:tc>
          <w:tcPr>
            <w:tcW w:w="1399" w:type="dxa"/>
          </w:tcPr>
          <w:p w14:paraId="478E7C04" w14:textId="77777777" w:rsidR="00FA1C82" w:rsidRPr="00FA1C82" w:rsidRDefault="00FA1C82" w:rsidP="00FA1C82">
            <w:pPr>
              <w:jc w:val="both"/>
              <w:rPr>
                <w:rFonts w:cs="Arial"/>
                <w:bCs/>
                <w:lang w:val="es-ES"/>
              </w:rPr>
            </w:pPr>
          </w:p>
        </w:tc>
      </w:tr>
      <w:tr w:rsidR="00FA1C82" w:rsidRPr="00FA1C82" w14:paraId="3E5A5EB5" w14:textId="77777777" w:rsidTr="00D90EC3">
        <w:trPr>
          <w:jc w:val="center"/>
        </w:trPr>
        <w:tc>
          <w:tcPr>
            <w:tcW w:w="1366" w:type="dxa"/>
          </w:tcPr>
          <w:p w14:paraId="5044CB44" w14:textId="77777777" w:rsidR="00FA1C82" w:rsidRPr="00FA1C82" w:rsidRDefault="00FA1C82" w:rsidP="00FA1C82">
            <w:pPr>
              <w:jc w:val="both"/>
              <w:rPr>
                <w:rFonts w:cs="Arial"/>
                <w:lang w:val="es-ES"/>
              </w:rPr>
            </w:pPr>
          </w:p>
        </w:tc>
        <w:tc>
          <w:tcPr>
            <w:tcW w:w="1279" w:type="dxa"/>
          </w:tcPr>
          <w:p w14:paraId="7A36CB30" w14:textId="77777777" w:rsidR="00FA1C82" w:rsidRPr="00FA1C82" w:rsidRDefault="00FA1C82" w:rsidP="00FA1C82">
            <w:pPr>
              <w:jc w:val="both"/>
              <w:rPr>
                <w:rFonts w:cs="Arial"/>
                <w:bCs/>
                <w:lang w:val="es-ES"/>
              </w:rPr>
            </w:pPr>
          </w:p>
        </w:tc>
        <w:tc>
          <w:tcPr>
            <w:tcW w:w="1624" w:type="dxa"/>
            <w:hideMark/>
          </w:tcPr>
          <w:p w14:paraId="231DE853" w14:textId="77777777" w:rsidR="00FA1C82" w:rsidRPr="00FA1C82" w:rsidRDefault="00FA1C82" w:rsidP="00FA1C82">
            <w:pPr>
              <w:jc w:val="both"/>
              <w:rPr>
                <w:rFonts w:cs="Arial"/>
                <w:bCs/>
                <w:lang w:val="es-ES"/>
              </w:rPr>
            </w:pPr>
            <w:r w:rsidRPr="00FA1C82">
              <w:rPr>
                <w:rFonts w:cs="Arial"/>
                <w:color w:val="000000"/>
              </w:rPr>
              <w:t>Despacho de Viceministro (DVM)</w:t>
            </w:r>
          </w:p>
        </w:tc>
        <w:tc>
          <w:tcPr>
            <w:tcW w:w="1683" w:type="dxa"/>
          </w:tcPr>
          <w:p w14:paraId="4D66839B" w14:textId="77777777" w:rsidR="00FA1C82" w:rsidRPr="00FA1C82" w:rsidRDefault="00FA1C82" w:rsidP="00FA1C82">
            <w:pPr>
              <w:jc w:val="both"/>
              <w:rPr>
                <w:rFonts w:cs="Arial"/>
                <w:bCs/>
                <w:lang w:val="es-ES"/>
              </w:rPr>
            </w:pPr>
          </w:p>
        </w:tc>
        <w:tc>
          <w:tcPr>
            <w:tcW w:w="2038" w:type="dxa"/>
            <w:hideMark/>
          </w:tcPr>
          <w:p w14:paraId="70D3A7C6" w14:textId="77777777" w:rsidR="00FA1C82" w:rsidRPr="00FA1C82" w:rsidRDefault="00FA1C82" w:rsidP="00FA1C82">
            <w:pPr>
              <w:jc w:val="both"/>
              <w:rPr>
                <w:rFonts w:cs="Arial"/>
                <w:lang w:val="es-ES"/>
              </w:rPr>
            </w:pPr>
            <w:r w:rsidRPr="00FA1C82">
              <w:rPr>
                <w:rFonts w:cs="Arial"/>
                <w:color w:val="000000"/>
              </w:rPr>
              <w:t>Correspondencia* (COR)</w:t>
            </w:r>
          </w:p>
        </w:tc>
        <w:tc>
          <w:tcPr>
            <w:tcW w:w="1399" w:type="dxa"/>
          </w:tcPr>
          <w:p w14:paraId="02D8484D" w14:textId="77777777" w:rsidR="00FA1C82" w:rsidRPr="00FA1C82" w:rsidRDefault="00FA1C82" w:rsidP="00FA1C82">
            <w:pPr>
              <w:jc w:val="both"/>
              <w:rPr>
                <w:rFonts w:cs="Arial"/>
                <w:bCs/>
                <w:lang w:val="es-ES"/>
              </w:rPr>
            </w:pPr>
          </w:p>
        </w:tc>
      </w:tr>
    </w:tbl>
    <w:p w14:paraId="2BF00A18" w14:textId="77777777" w:rsidR="00FA1C82" w:rsidRPr="00FA1C82" w:rsidRDefault="00FA1C82" w:rsidP="00FA1C82">
      <w:pPr>
        <w:pStyle w:val="Encabezadodelatabla"/>
        <w:suppressLineNumbers w:val="0"/>
        <w:jc w:val="both"/>
        <w:rPr>
          <w:rFonts w:ascii="Arial" w:hAnsi="Arial" w:cs="Arial"/>
          <w:bCs w:val="0"/>
          <w:sz w:val="22"/>
          <w:szCs w:val="22"/>
          <w:lang w:val="es-ES_tradnl"/>
        </w:rPr>
      </w:pPr>
    </w:p>
    <w:p w14:paraId="32BFF803"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CONDICIONES DE ACCESO Y UTILIZACIÓN</w:t>
      </w:r>
    </w:p>
    <w:p w14:paraId="099A54E6" w14:textId="77777777" w:rsidR="00FA1C82" w:rsidRPr="00FA1C82" w:rsidRDefault="00FA1C82" w:rsidP="00FA1C82">
      <w:pPr>
        <w:jc w:val="both"/>
        <w:rPr>
          <w:rFonts w:cs="Arial"/>
        </w:rPr>
      </w:pPr>
    </w:p>
    <w:p w14:paraId="2146FD24" w14:textId="79AB0CB9" w:rsidR="00FA1C82" w:rsidRPr="00D90EC3" w:rsidRDefault="00FA1C82" w:rsidP="00FA1C82">
      <w:pPr>
        <w:numPr>
          <w:ilvl w:val="1"/>
          <w:numId w:val="18"/>
        </w:numPr>
        <w:jc w:val="both"/>
        <w:rPr>
          <w:rFonts w:cs="Arial"/>
          <w:bCs/>
        </w:rPr>
      </w:pPr>
      <w:r w:rsidRPr="00FA1C82">
        <w:rPr>
          <w:rFonts w:cs="Arial"/>
          <w:bCs/>
        </w:rPr>
        <w:lastRenderedPageBreak/>
        <w:t xml:space="preserve"> CONDICIONES DE ACCESO: </w:t>
      </w:r>
      <w:r w:rsidRPr="00FA1C82">
        <w:rPr>
          <w:rFonts w:cs="Arial"/>
        </w:rPr>
        <w:t>Libre</w:t>
      </w:r>
    </w:p>
    <w:p w14:paraId="321406CD" w14:textId="77777777" w:rsidR="00D90EC3" w:rsidRPr="00D90EC3" w:rsidRDefault="00D90EC3" w:rsidP="00D90EC3">
      <w:pPr>
        <w:ind w:left="420"/>
        <w:jc w:val="both"/>
        <w:rPr>
          <w:rFonts w:cs="Arial"/>
          <w:bCs/>
        </w:rPr>
      </w:pPr>
    </w:p>
    <w:p w14:paraId="3B6A18DC" w14:textId="30DB3B86" w:rsidR="00FA1C82" w:rsidRPr="00FA1C82" w:rsidRDefault="00FA1C82" w:rsidP="00FA1C82">
      <w:pPr>
        <w:numPr>
          <w:ilvl w:val="1"/>
          <w:numId w:val="18"/>
        </w:numPr>
        <w:jc w:val="both"/>
        <w:rPr>
          <w:rFonts w:cs="Arial"/>
          <w:bCs/>
        </w:rPr>
      </w:pPr>
      <w:r w:rsidRPr="00FA1C82">
        <w:rPr>
          <w:rFonts w:cs="Arial"/>
          <w:bCs/>
        </w:rPr>
        <w:t xml:space="preserve">CONDICIONES DE REPRODUCCIÓN: </w:t>
      </w:r>
      <w:bookmarkStart w:id="0" w:name="OLE_LINK3"/>
      <w:r w:rsidRPr="00FA1C82">
        <w:rPr>
          <w:rFonts w:cs="Arial"/>
          <w:lang w:val="es-ES_tradn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bookmarkEnd w:id="0"/>
    <w:p w14:paraId="70487989" w14:textId="77777777" w:rsidR="00FA1C82" w:rsidRPr="00FA1C82" w:rsidRDefault="00FA1C82" w:rsidP="00FA1C82">
      <w:pPr>
        <w:jc w:val="both"/>
        <w:rPr>
          <w:rFonts w:cs="Arial"/>
        </w:rPr>
      </w:pPr>
    </w:p>
    <w:p w14:paraId="616F9096" w14:textId="39845F1F" w:rsidR="00FA1C82" w:rsidRPr="00D90EC3" w:rsidRDefault="00FA1C82" w:rsidP="00FA1C82">
      <w:pPr>
        <w:numPr>
          <w:ilvl w:val="1"/>
          <w:numId w:val="18"/>
        </w:numPr>
        <w:jc w:val="both"/>
        <w:rPr>
          <w:rFonts w:cs="Arial"/>
          <w:bCs/>
        </w:rPr>
      </w:pPr>
      <w:r w:rsidRPr="00FA1C82">
        <w:rPr>
          <w:rFonts w:cs="Arial"/>
          <w:bCs/>
        </w:rPr>
        <w:t xml:space="preserve"> LENGUA / ESCRITURA (S) DE LOS DOCUMENTOS: </w:t>
      </w:r>
      <w:r w:rsidRPr="00FA1C82">
        <w:rPr>
          <w:rFonts w:cs="Arial"/>
        </w:rPr>
        <w:t>Español</w:t>
      </w:r>
    </w:p>
    <w:p w14:paraId="2641F404" w14:textId="77777777" w:rsidR="00D90EC3" w:rsidRPr="00D90EC3" w:rsidRDefault="00D90EC3" w:rsidP="00D90EC3">
      <w:pPr>
        <w:ind w:left="420"/>
        <w:jc w:val="both"/>
        <w:rPr>
          <w:rFonts w:cs="Arial"/>
          <w:bCs/>
        </w:rPr>
      </w:pPr>
    </w:p>
    <w:p w14:paraId="037A409D" w14:textId="2146BA45" w:rsidR="00FA1C82" w:rsidRPr="00D90EC3" w:rsidRDefault="00FA1C82" w:rsidP="00FA1C82">
      <w:pPr>
        <w:numPr>
          <w:ilvl w:val="1"/>
          <w:numId w:val="18"/>
        </w:numPr>
        <w:jc w:val="both"/>
        <w:rPr>
          <w:rFonts w:cs="Arial"/>
          <w:lang w:val="es-ES"/>
        </w:rPr>
      </w:pPr>
      <w:r w:rsidRPr="00FA1C82">
        <w:rPr>
          <w:rFonts w:cs="Arial"/>
          <w:bCs/>
        </w:rPr>
        <w:t>CARACTERÍSTICAS FÍSICAS Y REQUISITOS TÉCNICOS:</w:t>
      </w:r>
      <w:r w:rsidR="00D90EC3">
        <w:rPr>
          <w:rFonts w:cs="Arial"/>
        </w:rPr>
        <w:t xml:space="preserve"> Buen estado de conservación.</w:t>
      </w:r>
    </w:p>
    <w:p w14:paraId="3AE293A3" w14:textId="77777777" w:rsidR="00D90EC3" w:rsidRPr="00D90EC3" w:rsidRDefault="00D90EC3" w:rsidP="00D90EC3">
      <w:pPr>
        <w:ind w:left="420"/>
        <w:jc w:val="both"/>
        <w:rPr>
          <w:rFonts w:cs="Arial"/>
          <w:lang w:val="es-ES"/>
        </w:rPr>
      </w:pPr>
    </w:p>
    <w:p w14:paraId="040D88FA" w14:textId="4B3B096E" w:rsidR="00FA1C82" w:rsidRPr="00FA1C82" w:rsidRDefault="00FA1C82" w:rsidP="00FA1C82">
      <w:pPr>
        <w:numPr>
          <w:ilvl w:val="1"/>
          <w:numId w:val="18"/>
        </w:numPr>
        <w:jc w:val="both"/>
        <w:rPr>
          <w:rFonts w:cs="Arial"/>
        </w:rPr>
      </w:pPr>
      <w:r w:rsidRPr="00FA1C82">
        <w:rPr>
          <w:rFonts w:cs="Arial"/>
          <w:bCs/>
        </w:rPr>
        <w:t xml:space="preserve">INSTRUMENTOS DE DESCRIPCIÓN: </w:t>
      </w:r>
    </w:p>
    <w:p w14:paraId="164C8C4E" w14:textId="77777777" w:rsidR="00FA1C82" w:rsidRPr="00FA1C82" w:rsidRDefault="00FA1C82" w:rsidP="00FA1C82">
      <w:pPr>
        <w:jc w:val="both"/>
        <w:rPr>
          <w:rFonts w:cs="Arial"/>
        </w:rPr>
      </w:pPr>
    </w:p>
    <w:p w14:paraId="11AF49A1" w14:textId="77777777" w:rsidR="00FA1C82" w:rsidRPr="00FA1C82" w:rsidRDefault="00FA1C82" w:rsidP="00FA1C82">
      <w:pPr>
        <w:numPr>
          <w:ilvl w:val="0"/>
          <w:numId w:val="35"/>
        </w:numPr>
        <w:jc w:val="both"/>
        <w:rPr>
          <w:rFonts w:cs="Arial"/>
          <w:lang w:val="es-ES"/>
        </w:rPr>
      </w:pPr>
      <w:r w:rsidRPr="00FA1C82">
        <w:rPr>
          <w:rFonts w:cs="Arial"/>
        </w:rPr>
        <w:t>Fichero ordenado alfabética y cronológicamente</w:t>
      </w:r>
    </w:p>
    <w:p w14:paraId="0CA86F4C" w14:textId="77777777" w:rsidR="00FA1C82" w:rsidRPr="00FA1C82" w:rsidRDefault="00FA1C82" w:rsidP="00FA1C82">
      <w:pPr>
        <w:ind w:left="360"/>
        <w:jc w:val="both"/>
        <w:rPr>
          <w:rFonts w:cs="Arial"/>
        </w:rPr>
      </w:pPr>
      <w:r w:rsidRPr="00FA1C82">
        <w:rPr>
          <w:rFonts w:cs="Arial"/>
        </w:rPr>
        <w:t xml:space="preserve"> </w:t>
      </w:r>
      <w:bookmarkStart w:id="1" w:name="_GoBack"/>
      <w:bookmarkEnd w:id="1"/>
    </w:p>
    <w:p w14:paraId="34C266DD" w14:textId="77777777" w:rsidR="00FA1C82" w:rsidRPr="00FA1C82" w:rsidRDefault="00FA1C82" w:rsidP="00FA1C82">
      <w:pPr>
        <w:numPr>
          <w:ilvl w:val="0"/>
          <w:numId w:val="35"/>
        </w:numPr>
        <w:jc w:val="both"/>
        <w:rPr>
          <w:rFonts w:cs="Arial"/>
        </w:rPr>
      </w:pPr>
      <w:r w:rsidRPr="00FA1C82">
        <w:rPr>
          <w:rFonts w:cs="Arial"/>
        </w:rPr>
        <w:t>Inventario ordenado por número de signatura de la 1 a la 2172</w:t>
      </w:r>
    </w:p>
    <w:p w14:paraId="20F1053A" w14:textId="77777777" w:rsidR="00FA1C82" w:rsidRPr="00FA1C82" w:rsidRDefault="00FA1C82" w:rsidP="00FA1C82">
      <w:pPr>
        <w:jc w:val="both"/>
        <w:rPr>
          <w:rFonts w:cs="Arial"/>
        </w:rPr>
      </w:pPr>
    </w:p>
    <w:p w14:paraId="59624CD9" w14:textId="77777777" w:rsidR="00FA1C82" w:rsidRPr="00FA1C82" w:rsidRDefault="00FA1C82" w:rsidP="00FA1C82">
      <w:pPr>
        <w:numPr>
          <w:ilvl w:val="0"/>
          <w:numId w:val="35"/>
        </w:numPr>
        <w:jc w:val="both"/>
        <w:rPr>
          <w:rFonts w:cs="Arial"/>
        </w:rPr>
      </w:pPr>
      <w:r w:rsidRPr="00FA1C82">
        <w:rPr>
          <w:rFonts w:cs="Arial"/>
        </w:rPr>
        <w:t xml:space="preserve">Base de datos </w:t>
      </w:r>
    </w:p>
    <w:p w14:paraId="2B2B0550" w14:textId="77777777" w:rsidR="00FA1C82" w:rsidRPr="00FA1C82" w:rsidRDefault="00FA1C82" w:rsidP="00FA1C82">
      <w:pPr>
        <w:jc w:val="both"/>
        <w:rPr>
          <w:rFonts w:cs="Arial"/>
        </w:rPr>
      </w:pPr>
    </w:p>
    <w:p w14:paraId="2C7797CB"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DOCUMENTACIÓN ASOCIADA.</w:t>
      </w:r>
    </w:p>
    <w:p w14:paraId="03071666" w14:textId="77777777" w:rsidR="00FA1C82" w:rsidRPr="00FA1C82" w:rsidRDefault="00FA1C82" w:rsidP="00FA1C82">
      <w:pPr>
        <w:jc w:val="both"/>
        <w:rPr>
          <w:rFonts w:cs="Arial"/>
        </w:rPr>
      </w:pPr>
    </w:p>
    <w:p w14:paraId="41F2FDC1" w14:textId="77777777" w:rsidR="00FA1C82" w:rsidRPr="00FA1C82" w:rsidRDefault="00FA1C82" w:rsidP="00FA1C82">
      <w:pPr>
        <w:numPr>
          <w:ilvl w:val="1"/>
          <w:numId w:val="18"/>
        </w:numPr>
        <w:jc w:val="both"/>
        <w:rPr>
          <w:rFonts w:cs="Arial"/>
        </w:rPr>
      </w:pPr>
      <w:r w:rsidRPr="00FA1C82">
        <w:rPr>
          <w:rFonts w:cs="Arial"/>
          <w:bCs/>
        </w:rPr>
        <w:t xml:space="preserve"> UNIDADES DE DESCRIPCIÓN RELACIONADAS:</w:t>
      </w:r>
      <w:r w:rsidRPr="00FA1C82">
        <w:rPr>
          <w:rFonts w:cs="Arial"/>
        </w:rPr>
        <w:t xml:space="preserve"> En el Archivo Nacional de Costa Rica, se pueden encontrar documentos que complementan esta documentación, en los siguientes fondos: Ministerio de Gobernación, Colección de fotografías, Ministerio de Gobernación Policía y Seguridad Pública, Ministerio de Justicia y Gracia, Documentos personales de Manuel Mora Valverde, Secretaría de Fomento, Asamblea Legislativa, Ministerio de Hacienda, Presidencia de la República, Ministerio de Educación Pública, Secretaría de Guerra y Marina, Ministerio de Cultura, Juventud y Deportes, Dirección General de Detectives, Dirección General de Tránsito, Ministerio de Obras Públicas.</w:t>
      </w:r>
    </w:p>
    <w:p w14:paraId="21FD9F86" w14:textId="77777777" w:rsidR="00FA1C82" w:rsidRPr="00FA1C82" w:rsidRDefault="00FA1C82" w:rsidP="00FA1C82">
      <w:pPr>
        <w:jc w:val="both"/>
        <w:rPr>
          <w:rFonts w:cs="Arial"/>
          <w:bCs/>
        </w:rPr>
      </w:pPr>
    </w:p>
    <w:p w14:paraId="19DD89F6"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NOTAS</w:t>
      </w:r>
    </w:p>
    <w:p w14:paraId="63025145" w14:textId="77777777" w:rsidR="00FA1C82" w:rsidRPr="00FA1C82" w:rsidRDefault="00FA1C82" w:rsidP="00FA1C82">
      <w:pPr>
        <w:pStyle w:val="Encabezadodelatabla"/>
        <w:suppressLineNumbers w:val="0"/>
        <w:jc w:val="both"/>
        <w:rPr>
          <w:rFonts w:ascii="Arial" w:hAnsi="Arial" w:cs="Arial"/>
          <w:bCs w:val="0"/>
          <w:sz w:val="22"/>
          <w:szCs w:val="22"/>
          <w:lang w:val="es-ES_tradnl"/>
        </w:rPr>
      </w:pPr>
    </w:p>
    <w:p w14:paraId="6AF4B907" w14:textId="77777777" w:rsidR="00FA1C82" w:rsidRPr="00FA1C82" w:rsidRDefault="00FA1C82" w:rsidP="00FA1C82">
      <w:pPr>
        <w:pStyle w:val="Encabezadodelatabla"/>
        <w:suppressLineNumbers w:val="0"/>
        <w:jc w:val="both"/>
        <w:rPr>
          <w:rFonts w:ascii="Arial" w:hAnsi="Arial" w:cs="Arial"/>
          <w:b w:val="0"/>
          <w:sz w:val="22"/>
          <w:szCs w:val="22"/>
          <w:lang w:val="es-CR"/>
        </w:rPr>
      </w:pPr>
      <w:r w:rsidRPr="00FA1C82">
        <w:rPr>
          <w:rFonts w:ascii="Arial" w:hAnsi="Arial" w:cs="Arial"/>
          <w:b w:val="0"/>
          <w:bCs w:val="0"/>
          <w:sz w:val="22"/>
          <w:szCs w:val="22"/>
          <w:lang w:val="es-ES_tradnl"/>
        </w:rPr>
        <w:t xml:space="preserve">6.1 NOTAS: </w:t>
      </w:r>
      <w:r w:rsidRPr="00FA1C82">
        <w:rPr>
          <w:rFonts w:ascii="Arial" w:hAnsi="Arial" w:cs="Arial"/>
          <w:b w:val="0"/>
          <w:sz w:val="22"/>
          <w:szCs w:val="22"/>
        </w:rPr>
        <w:t xml:space="preserve">La signatura 1738 corresponde a un registro de pasaportes con calidades de ley, fotografía y huella digital, del período 1949 a 1950. </w:t>
      </w:r>
    </w:p>
    <w:p w14:paraId="496B3023" w14:textId="77777777" w:rsidR="00FA1C82" w:rsidRPr="00FA1C82" w:rsidRDefault="00FA1C82" w:rsidP="00FA1C82">
      <w:pPr>
        <w:pStyle w:val="Encabezadodelatabla"/>
        <w:suppressLineNumbers w:val="0"/>
        <w:jc w:val="both"/>
        <w:rPr>
          <w:rFonts w:ascii="Arial" w:hAnsi="Arial" w:cs="Arial"/>
          <w:bCs w:val="0"/>
          <w:sz w:val="22"/>
          <w:szCs w:val="22"/>
          <w:lang w:val="es-ES_tradnl"/>
        </w:rPr>
      </w:pPr>
    </w:p>
    <w:p w14:paraId="30228C74" w14:textId="77777777" w:rsidR="00FA1C82" w:rsidRPr="00FA1C82" w:rsidRDefault="00FA1C82" w:rsidP="00FA1C82">
      <w:pPr>
        <w:pStyle w:val="Encabezadodelatabla"/>
        <w:numPr>
          <w:ilvl w:val="0"/>
          <w:numId w:val="18"/>
        </w:numPr>
        <w:suppressLineNumbers w:val="0"/>
        <w:ind w:left="0" w:firstLine="0"/>
        <w:jc w:val="both"/>
        <w:rPr>
          <w:rFonts w:ascii="Arial" w:hAnsi="Arial" w:cs="Arial"/>
          <w:bCs w:val="0"/>
          <w:sz w:val="22"/>
          <w:szCs w:val="22"/>
          <w:lang w:val="es-ES_tradnl"/>
        </w:rPr>
      </w:pPr>
      <w:r w:rsidRPr="00FA1C82">
        <w:rPr>
          <w:rFonts w:ascii="Arial" w:hAnsi="Arial" w:cs="Arial"/>
          <w:bCs w:val="0"/>
          <w:sz w:val="22"/>
          <w:szCs w:val="22"/>
          <w:lang w:val="es-ES_tradnl"/>
        </w:rPr>
        <w:t>ÁREA DE CONTROL DE LA DESCRIPCIÓN</w:t>
      </w:r>
    </w:p>
    <w:p w14:paraId="3872FA89" w14:textId="77777777" w:rsidR="00FA1C82" w:rsidRPr="00FA1C82" w:rsidRDefault="00FA1C82" w:rsidP="00FA1C82">
      <w:pPr>
        <w:ind w:left="360"/>
        <w:jc w:val="both"/>
        <w:rPr>
          <w:rFonts w:cs="Arial"/>
        </w:rPr>
      </w:pPr>
    </w:p>
    <w:p w14:paraId="2E021CAF" w14:textId="77777777" w:rsidR="00FA1C82" w:rsidRPr="00FA1C82" w:rsidRDefault="00FA1C82" w:rsidP="00FA1C82">
      <w:pPr>
        <w:numPr>
          <w:ilvl w:val="1"/>
          <w:numId w:val="36"/>
        </w:numPr>
        <w:jc w:val="both"/>
        <w:rPr>
          <w:rFonts w:cs="Arial"/>
        </w:rPr>
      </w:pPr>
      <w:r w:rsidRPr="00FA1C82">
        <w:rPr>
          <w:rFonts w:cs="Arial"/>
          <w:bCs/>
        </w:rPr>
        <w:t xml:space="preserve">NOTA DEL ARCHIVERO: </w:t>
      </w:r>
      <w:r w:rsidRPr="00FA1C82">
        <w:rPr>
          <w:rFonts w:cs="Arial"/>
        </w:rPr>
        <w:t>Revisada y actualizada por Gabriela Moya Jiménez, profesional del Departamento de Archivo Histórico.</w:t>
      </w:r>
    </w:p>
    <w:p w14:paraId="221320EB" w14:textId="77777777" w:rsidR="00FA1C82" w:rsidRPr="00FA1C82" w:rsidRDefault="00FA1C82" w:rsidP="00FA1C82">
      <w:pPr>
        <w:jc w:val="both"/>
        <w:rPr>
          <w:rFonts w:cs="Arial"/>
        </w:rPr>
      </w:pPr>
    </w:p>
    <w:p w14:paraId="52E2ABD0" w14:textId="77777777" w:rsidR="00FA1C82" w:rsidRPr="00FA1C82" w:rsidRDefault="00FA1C82" w:rsidP="00FA1C82">
      <w:pPr>
        <w:jc w:val="both"/>
        <w:rPr>
          <w:rFonts w:cs="Arial"/>
        </w:rPr>
      </w:pPr>
      <w:r w:rsidRPr="00FA1C82">
        <w:rPr>
          <w:rFonts w:cs="Arial"/>
        </w:rPr>
        <w:t>Las fuentes consultadas fueron las siguientes:</w:t>
      </w:r>
    </w:p>
    <w:p w14:paraId="5CE63F99" w14:textId="77777777" w:rsidR="00FA1C82" w:rsidRPr="00FA1C82" w:rsidRDefault="00FA1C82" w:rsidP="00FA1C82">
      <w:pPr>
        <w:jc w:val="both"/>
        <w:rPr>
          <w:rFonts w:cs="Arial"/>
        </w:rPr>
      </w:pPr>
    </w:p>
    <w:p w14:paraId="0822C626" w14:textId="77777777" w:rsidR="00FA1C82" w:rsidRPr="00FA1C82" w:rsidRDefault="00FA1C82" w:rsidP="00FA1C82">
      <w:pPr>
        <w:jc w:val="both"/>
        <w:rPr>
          <w:rFonts w:cs="Arial"/>
        </w:rPr>
      </w:pPr>
      <w:r w:rsidRPr="00FA1C82">
        <w:rPr>
          <w:rFonts w:cs="Arial"/>
        </w:rPr>
        <w:t>Del Archivo de Gestión del Departamento de Archivo Histórico:</w:t>
      </w:r>
    </w:p>
    <w:p w14:paraId="3918530E" w14:textId="77777777" w:rsidR="00FA1C82" w:rsidRPr="00FA1C82" w:rsidRDefault="00FA1C82" w:rsidP="00FA1C82">
      <w:pPr>
        <w:jc w:val="both"/>
        <w:rPr>
          <w:rFonts w:cs="Arial"/>
          <w:color w:val="FF0000"/>
        </w:rPr>
      </w:pPr>
      <w:r w:rsidRPr="00FA1C82">
        <w:rPr>
          <w:rFonts w:cs="Arial"/>
        </w:rPr>
        <w:t>-Expediente de transferencias del Ministerio de Seguridad Pública</w:t>
      </w:r>
    </w:p>
    <w:p w14:paraId="75372337" w14:textId="77777777" w:rsidR="00FA1C82" w:rsidRPr="00FA1C82" w:rsidRDefault="00FA1C82" w:rsidP="00FA1C82">
      <w:pPr>
        <w:jc w:val="both"/>
        <w:rPr>
          <w:rFonts w:cs="Arial"/>
        </w:rPr>
      </w:pPr>
    </w:p>
    <w:p w14:paraId="5F4EDABB" w14:textId="77777777" w:rsidR="00FA1C82" w:rsidRPr="00FA1C82" w:rsidRDefault="00FA1C82" w:rsidP="00FA1C82">
      <w:pPr>
        <w:jc w:val="both"/>
        <w:rPr>
          <w:rFonts w:cs="Arial"/>
        </w:rPr>
      </w:pPr>
      <w:bookmarkStart w:id="2" w:name="OLE_LINK2"/>
      <w:r w:rsidRPr="00FA1C82">
        <w:rPr>
          <w:rFonts w:cs="Arial"/>
        </w:rPr>
        <w:t>Del Archivo de Gestión del Departamento de Servicios Archivísticos:</w:t>
      </w:r>
      <w:bookmarkEnd w:id="2"/>
    </w:p>
    <w:p w14:paraId="6F2A2B8C" w14:textId="77777777" w:rsidR="00FA1C82" w:rsidRPr="00FA1C82" w:rsidRDefault="00FA1C82" w:rsidP="00FA1C82">
      <w:pPr>
        <w:jc w:val="both"/>
        <w:rPr>
          <w:rFonts w:cs="Arial"/>
        </w:rPr>
      </w:pPr>
    </w:p>
    <w:p w14:paraId="3FD57E1D" w14:textId="77777777" w:rsidR="00FA1C82" w:rsidRPr="00FA1C82" w:rsidRDefault="00FA1C82" w:rsidP="00FA1C82">
      <w:pPr>
        <w:jc w:val="both"/>
        <w:rPr>
          <w:rFonts w:cs="Arial"/>
        </w:rPr>
      </w:pPr>
      <w:r w:rsidRPr="00FA1C82">
        <w:rPr>
          <w:rFonts w:cs="Arial"/>
        </w:rPr>
        <w:t>-Expediente de transferencias del Ministerio de Seguridad Pública</w:t>
      </w:r>
    </w:p>
    <w:p w14:paraId="7C53F9DF" w14:textId="77777777" w:rsidR="00FA1C82" w:rsidRPr="00FA1C82" w:rsidRDefault="00FA1C82" w:rsidP="00FA1C82">
      <w:pPr>
        <w:jc w:val="both"/>
        <w:rPr>
          <w:rFonts w:cs="Arial"/>
        </w:rPr>
      </w:pPr>
      <w:r w:rsidRPr="00FA1C82">
        <w:rPr>
          <w:rFonts w:cs="Arial"/>
        </w:rPr>
        <w:lastRenderedPageBreak/>
        <w:t xml:space="preserve">- Informe de Inspección </w:t>
      </w:r>
      <w:r w:rsidRPr="00FA1C82">
        <w:rPr>
          <w:rFonts w:cs="Arial"/>
          <w:caps/>
        </w:rPr>
        <w:t>N° 12-2012</w:t>
      </w:r>
      <w:r w:rsidRPr="00FA1C82">
        <w:rPr>
          <w:rFonts w:cs="Arial"/>
          <w:caps/>
          <w:color w:val="1F497D"/>
        </w:rPr>
        <w:t xml:space="preserve"> </w:t>
      </w:r>
      <w:r w:rsidRPr="00FA1C82">
        <w:rPr>
          <w:rFonts w:cs="Arial"/>
        </w:rPr>
        <w:t>Ministerio de Seguridad Pública y Ministerio de Gobernación y Policía. Realizado por Mellany Otárola Sáenz funcionaria del Departamento de Servicios Archivísticos Externos del Archivo Nacional.</w:t>
      </w:r>
    </w:p>
    <w:p w14:paraId="3CA5C9F6" w14:textId="77777777" w:rsidR="00FA1C82" w:rsidRPr="00FA1C82" w:rsidRDefault="00FA1C82" w:rsidP="00FA1C82">
      <w:pPr>
        <w:jc w:val="both"/>
        <w:rPr>
          <w:rFonts w:cs="Arial"/>
        </w:rPr>
      </w:pPr>
    </w:p>
    <w:p w14:paraId="3F41B636" w14:textId="77777777" w:rsidR="00FA1C82" w:rsidRPr="00FA1C82" w:rsidRDefault="00FA1C82" w:rsidP="00FA1C82">
      <w:pPr>
        <w:jc w:val="both"/>
        <w:rPr>
          <w:rFonts w:cs="Arial"/>
        </w:rPr>
      </w:pPr>
      <w:r w:rsidRPr="00FA1C82">
        <w:rPr>
          <w:rFonts w:cs="Arial"/>
        </w:rPr>
        <w:t>Bases de datos:</w:t>
      </w:r>
    </w:p>
    <w:p w14:paraId="56F81945" w14:textId="77777777" w:rsidR="00FA1C82" w:rsidRPr="00FA1C82" w:rsidRDefault="00FA1C82" w:rsidP="00FA1C82">
      <w:pPr>
        <w:jc w:val="both"/>
        <w:rPr>
          <w:rFonts w:cs="Arial"/>
        </w:rPr>
      </w:pPr>
    </w:p>
    <w:p w14:paraId="06EE5C3D" w14:textId="77777777" w:rsidR="00FA1C82" w:rsidRPr="00FA1C82" w:rsidRDefault="00FA1C82" w:rsidP="00FA1C82">
      <w:pPr>
        <w:jc w:val="both"/>
        <w:rPr>
          <w:rFonts w:cs="Arial"/>
          <w:color w:val="FF0000"/>
        </w:rPr>
      </w:pPr>
      <w:r w:rsidRPr="00FA1C82">
        <w:rPr>
          <w:rFonts w:cs="Arial"/>
        </w:rPr>
        <w:t>-ARC disponible en Winisis</w:t>
      </w:r>
    </w:p>
    <w:p w14:paraId="0155406B" w14:textId="77777777" w:rsidR="00FA1C82" w:rsidRPr="00FA1C82" w:rsidRDefault="00FA1C82" w:rsidP="00FA1C82">
      <w:pPr>
        <w:jc w:val="both"/>
        <w:rPr>
          <w:rFonts w:cs="Arial"/>
          <w:color w:val="FF0000"/>
        </w:rPr>
      </w:pPr>
    </w:p>
    <w:p w14:paraId="3E94FB73" w14:textId="77777777" w:rsidR="00FA1C82" w:rsidRPr="00FA1C82" w:rsidRDefault="00FA1C82" w:rsidP="00FA1C82">
      <w:pPr>
        <w:jc w:val="both"/>
        <w:rPr>
          <w:rFonts w:cs="Arial"/>
        </w:rPr>
      </w:pPr>
      <w:r w:rsidRPr="00FA1C82">
        <w:rPr>
          <w:rFonts w:cs="Arial"/>
        </w:rPr>
        <w:t>Sitios Web:</w:t>
      </w:r>
    </w:p>
    <w:p w14:paraId="747F358E" w14:textId="77777777" w:rsidR="00FA1C82" w:rsidRPr="00FA1C82" w:rsidRDefault="00FA1C82" w:rsidP="00FA1C82">
      <w:pPr>
        <w:jc w:val="both"/>
        <w:rPr>
          <w:rFonts w:cs="Arial"/>
        </w:rPr>
      </w:pPr>
    </w:p>
    <w:p w14:paraId="4F367887" w14:textId="043F4F07" w:rsidR="00FA1C82" w:rsidRPr="00FA1C82" w:rsidRDefault="00FA1C82" w:rsidP="00FA1C82">
      <w:pPr>
        <w:jc w:val="both"/>
        <w:rPr>
          <w:rFonts w:cs="Arial"/>
        </w:rPr>
      </w:pPr>
      <w:r w:rsidRPr="00FA1C82">
        <w:rPr>
          <w:rFonts w:cs="Arial"/>
        </w:rPr>
        <w:t>Ministerio de Seguridad Pública disponible en: http://www.msp.go.cr  (consultada el 29 de noviembre 2013)</w:t>
      </w:r>
    </w:p>
    <w:p w14:paraId="77BABB44" w14:textId="77777777" w:rsidR="00FA1C82" w:rsidRPr="00FA1C82" w:rsidRDefault="00FA1C82" w:rsidP="00FA1C82">
      <w:pPr>
        <w:jc w:val="both"/>
        <w:rPr>
          <w:rFonts w:cs="Arial"/>
        </w:rPr>
      </w:pPr>
    </w:p>
    <w:p w14:paraId="51AF12F1" w14:textId="77777777" w:rsidR="00FA1C82" w:rsidRPr="00FA1C82" w:rsidRDefault="00FA1C82" w:rsidP="00FA1C82">
      <w:pPr>
        <w:numPr>
          <w:ilvl w:val="1"/>
          <w:numId w:val="36"/>
        </w:numPr>
        <w:jc w:val="both"/>
        <w:rPr>
          <w:rFonts w:cs="Arial"/>
        </w:rPr>
      </w:pPr>
      <w:r w:rsidRPr="00FA1C82">
        <w:rPr>
          <w:rFonts w:cs="Arial"/>
          <w:bCs/>
        </w:rPr>
        <w:t xml:space="preserve">REGLAS O NORMAS: </w:t>
      </w:r>
    </w:p>
    <w:p w14:paraId="44768F7A" w14:textId="77777777" w:rsidR="00FA1C82" w:rsidRPr="00FA1C82" w:rsidRDefault="00FA1C82" w:rsidP="00FA1C82">
      <w:pPr>
        <w:jc w:val="both"/>
        <w:rPr>
          <w:rFonts w:cs="Arial"/>
        </w:rPr>
      </w:pPr>
    </w:p>
    <w:p w14:paraId="136B12B1" w14:textId="77777777" w:rsidR="00FA1C82" w:rsidRPr="00FA1C82" w:rsidRDefault="00FA1C82" w:rsidP="00FA1C82">
      <w:pPr>
        <w:numPr>
          <w:ilvl w:val="0"/>
          <w:numId w:val="37"/>
        </w:numPr>
        <w:jc w:val="both"/>
        <w:rPr>
          <w:rFonts w:cs="Arial"/>
        </w:rPr>
      </w:pPr>
      <w:r w:rsidRPr="00FA1C82">
        <w:rPr>
          <w:rFonts w:cs="Arial"/>
        </w:rPr>
        <w:t>Consejo Internacional de Archivos. ISAD (G) (2000). Norma Internacional General de Descripción Archivística. Madrid, Subdirección de los Archivos Estatales.</w:t>
      </w:r>
    </w:p>
    <w:p w14:paraId="0DB8BBD6" w14:textId="77777777" w:rsidR="00FA1C82" w:rsidRPr="00FA1C82" w:rsidRDefault="00FA1C82" w:rsidP="00FA1C82">
      <w:pPr>
        <w:jc w:val="both"/>
        <w:rPr>
          <w:rFonts w:cs="Arial"/>
        </w:rPr>
      </w:pPr>
    </w:p>
    <w:p w14:paraId="030AC8AD" w14:textId="77777777" w:rsidR="00FA1C82" w:rsidRPr="00FA1C82" w:rsidRDefault="00FA1C82" w:rsidP="00FA1C82">
      <w:pPr>
        <w:numPr>
          <w:ilvl w:val="0"/>
          <w:numId w:val="37"/>
        </w:numPr>
        <w:jc w:val="both"/>
        <w:rPr>
          <w:rFonts w:cs="Arial"/>
        </w:rPr>
      </w:pPr>
      <w:r w:rsidRPr="00FA1C82">
        <w:rPr>
          <w:rFonts w:cs="Arial"/>
        </w:rPr>
        <w:t>Dirección General del Archivo Nacional (2010). Aplicación de la Norma Internacional de Descripción ISAD (G) en Archivo Nacional, noviembre.</w:t>
      </w:r>
    </w:p>
    <w:p w14:paraId="4FC156B6" w14:textId="77777777" w:rsidR="00FA1C82" w:rsidRPr="00FA1C82" w:rsidRDefault="00FA1C82" w:rsidP="00FA1C82">
      <w:pPr>
        <w:jc w:val="both"/>
        <w:rPr>
          <w:rFonts w:cs="Arial"/>
        </w:rPr>
      </w:pPr>
    </w:p>
    <w:p w14:paraId="472850FF" w14:textId="77777777" w:rsidR="00FA1C82" w:rsidRPr="00FA1C82" w:rsidRDefault="00FA1C82" w:rsidP="00FA1C82">
      <w:pPr>
        <w:numPr>
          <w:ilvl w:val="1"/>
          <w:numId w:val="36"/>
        </w:numPr>
        <w:jc w:val="both"/>
        <w:rPr>
          <w:rFonts w:cs="Arial"/>
        </w:rPr>
      </w:pPr>
      <w:r w:rsidRPr="00FA1C82">
        <w:rPr>
          <w:rFonts w:cs="Arial"/>
          <w:bCs/>
        </w:rPr>
        <w:t xml:space="preserve">FECHA (S) DE LA (S) DESCRIPCIÓN (ES): </w:t>
      </w:r>
      <w:r w:rsidRPr="00FA1C82">
        <w:rPr>
          <w:rFonts w:cs="Arial"/>
          <w:lang w:val="es-ES_tradnl"/>
        </w:rPr>
        <w:t xml:space="preserve">2013-11. </w:t>
      </w:r>
      <w:r w:rsidRPr="00FA1C82">
        <w:rPr>
          <w:rStyle w:val="Textoennegrita"/>
          <w:rFonts w:cs="Arial"/>
          <w:b w:val="0"/>
        </w:rPr>
        <w:t>Revisada y aprobada por la Comisión de Descripción del Archivo Nacional, sesión 04-2014 de 2014-05-13</w:t>
      </w:r>
    </w:p>
    <w:p w14:paraId="69434869" w14:textId="77777777" w:rsidR="00550F08" w:rsidRPr="00FA1C82" w:rsidRDefault="00550F08" w:rsidP="00FA1C82">
      <w:pPr>
        <w:jc w:val="both"/>
        <w:rPr>
          <w:rFonts w:cs="Arial"/>
        </w:rPr>
      </w:pPr>
    </w:p>
    <w:sectPr w:rsidR="00550F08" w:rsidRPr="00FA1C82"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6A4D2" w14:textId="77777777" w:rsidR="00256F5E" w:rsidRDefault="00256F5E" w:rsidP="00602906">
      <w:r>
        <w:separator/>
      </w:r>
    </w:p>
  </w:endnote>
  <w:endnote w:type="continuationSeparator" w:id="0">
    <w:p w14:paraId="29292B45" w14:textId="77777777" w:rsidR="00256F5E" w:rsidRDefault="00256F5E"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72B75D91"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9A73" w14:textId="77777777" w:rsidR="00256F5E" w:rsidRDefault="00256F5E" w:rsidP="00602906">
      <w:r>
        <w:separator/>
      </w:r>
    </w:p>
  </w:footnote>
  <w:footnote w:type="continuationSeparator" w:id="0">
    <w:p w14:paraId="0C5BA687" w14:textId="77777777" w:rsidR="00256F5E" w:rsidRDefault="00256F5E"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07EF0ECF"/>
    <w:multiLevelType w:val="hybridMultilevel"/>
    <w:tmpl w:val="88AE1F1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D6162E1"/>
    <w:multiLevelType w:val="hybridMultilevel"/>
    <w:tmpl w:val="5ABC4E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6">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27">
    <w:nsid w:val="690C4332"/>
    <w:multiLevelType w:val="hybridMultilevel"/>
    <w:tmpl w:val="3A3443A2"/>
    <w:lvl w:ilvl="0" w:tplc="0C0A0001">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Times New Roman" w:hint="default"/>
      </w:rPr>
    </w:lvl>
    <w:lvl w:ilvl="3" w:tplc="0C0A0001">
      <w:start w:val="1"/>
      <w:numFmt w:val="bullet"/>
      <w:lvlText w:val=""/>
      <w:lvlJc w:val="left"/>
      <w:pPr>
        <w:tabs>
          <w:tab w:val="num" w:pos="2520"/>
        </w:tabs>
        <w:ind w:left="2520" w:hanging="360"/>
      </w:pPr>
      <w:rPr>
        <w:rFonts w:ascii="Symbol" w:hAnsi="Symbol" w:cs="Times New Roman"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Times New Roman" w:hint="default"/>
      </w:rPr>
    </w:lvl>
    <w:lvl w:ilvl="6" w:tplc="0C0A0001">
      <w:start w:val="1"/>
      <w:numFmt w:val="bullet"/>
      <w:lvlText w:val=""/>
      <w:lvlJc w:val="left"/>
      <w:pPr>
        <w:tabs>
          <w:tab w:val="num" w:pos="4680"/>
        </w:tabs>
        <w:ind w:left="4680" w:hanging="360"/>
      </w:pPr>
      <w:rPr>
        <w:rFonts w:ascii="Symbol" w:hAnsi="Symbol" w:cs="Times New Roman"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Times New Roman" w:hint="default"/>
      </w:rPr>
    </w:lvl>
  </w:abstractNum>
  <w:abstractNum w:abstractNumId="28">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2">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nsid w:val="7BE71CEA"/>
    <w:multiLevelType w:val="multilevel"/>
    <w:tmpl w:val="98F8DB4E"/>
    <w:lvl w:ilvl="0">
      <w:start w:val="7"/>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22"/>
  </w:num>
  <w:num w:numId="12">
    <w:abstractNumId w:val="14"/>
  </w:num>
  <w:num w:numId="13">
    <w:abstractNumId w:val="29"/>
  </w:num>
  <w:num w:numId="14">
    <w:abstractNumId w:val="16"/>
  </w:num>
  <w:num w:numId="15">
    <w:abstractNumId w:val="26"/>
  </w:num>
  <w:num w:numId="16">
    <w:abstractNumId w:val="24"/>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3"/>
  </w:num>
  <w:num w:numId="3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0C6396"/>
    <w:rsid w:val="00102082"/>
    <w:rsid w:val="00121DC6"/>
    <w:rsid w:val="001331FD"/>
    <w:rsid w:val="00134465"/>
    <w:rsid w:val="00136788"/>
    <w:rsid w:val="00144ABD"/>
    <w:rsid w:val="0016679D"/>
    <w:rsid w:val="0018675A"/>
    <w:rsid w:val="001F3DCB"/>
    <w:rsid w:val="00231BF7"/>
    <w:rsid w:val="00236F86"/>
    <w:rsid w:val="00256F5E"/>
    <w:rsid w:val="002676D8"/>
    <w:rsid w:val="00291E42"/>
    <w:rsid w:val="002A0CF5"/>
    <w:rsid w:val="002B2F5D"/>
    <w:rsid w:val="002B54C3"/>
    <w:rsid w:val="002F027B"/>
    <w:rsid w:val="003102DA"/>
    <w:rsid w:val="0034671D"/>
    <w:rsid w:val="003702DE"/>
    <w:rsid w:val="003755B0"/>
    <w:rsid w:val="003A36DF"/>
    <w:rsid w:val="003B7978"/>
    <w:rsid w:val="00443518"/>
    <w:rsid w:val="004E529F"/>
    <w:rsid w:val="004F2571"/>
    <w:rsid w:val="00502F9E"/>
    <w:rsid w:val="00521B59"/>
    <w:rsid w:val="00521D9D"/>
    <w:rsid w:val="00550F08"/>
    <w:rsid w:val="00586D5F"/>
    <w:rsid w:val="005A6B82"/>
    <w:rsid w:val="005D64E9"/>
    <w:rsid w:val="00602906"/>
    <w:rsid w:val="00612975"/>
    <w:rsid w:val="00620D4A"/>
    <w:rsid w:val="00623592"/>
    <w:rsid w:val="0062472C"/>
    <w:rsid w:val="006E7965"/>
    <w:rsid w:val="007211E4"/>
    <w:rsid w:val="0076241C"/>
    <w:rsid w:val="007647D9"/>
    <w:rsid w:val="007A32FA"/>
    <w:rsid w:val="007B4427"/>
    <w:rsid w:val="007D29AE"/>
    <w:rsid w:val="00833FB5"/>
    <w:rsid w:val="00902AEE"/>
    <w:rsid w:val="009136A0"/>
    <w:rsid w:val="009337A7"/>
    <w:rsid w:val="009A0613"/>
    <w:rsid w:val="009B1D8F"/>
    <w:rsid w:val="009C4662"/>
    <w:rsid w:val="009E138F"/>
    <w:rsid w:val="00A074ED"/>
    <w:rsid w:val="00A07EF0"/>
    <w:rsid w:val="00A1635C"/>
    <w:rsid w:val="00A16404"/>
    <w:rsid w:val="00A6609B"/>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D407F6"/>
    <w:rsid w:val="00D638A1"/>
    <w:rsid w:val="00D90EC3"/>
    <w:rsid w:val="00DA50CF"/>
    <w:rsid w:val="00DC12F6"/>
    <w:rsid w:val="00DD17D2"/>
    <w:rsid w:val="00E02D41"/>
    <w:rsid w:val="00E05D8E"/>
    <w:rsid w:val="00E20D28"/>
    <w:rsid w:val="00E33250"/>
    <w:rsid w:val="00E4347A"/>
    <w:rsid w:val="00E735AD"/>
    <w:rsid w:val="00E856B3"/>
    <w:rsid w:val="00EB0669"/>
    <w:rsid w:val="00EB7CFB"/>
    <w:rsid w:val="00EB7EF7"/>
    <w:rsid w:val="00F2227A"/>
    <w:rsid w:val="00F5790B"/>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C595-34C0-4A94-B8FE-80FF7921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1589</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2017-04-17T17:21:00Z</dcterms:created>
  <dcterms:modified xsi:type="dcterms:W3CDTF">2017-04-19T14:15:00Z</dcterms:modified>
</cp:coreProperties>
</file>