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DA9C0" w14:textId="58375A1D" w:rsidR="00F2227A" w:rsidRPr="00F31655" w:rsidRDefault="00F2227A" w:rsidP="00F31655">
      <w:pPr>
        <w:pStyle w:val="Ttulo1"/>
        <w:spacing w:before="0"/>
        <w:jc w:val="center"/>
        <w:rPr>
          <w:rFonts w:ascii="Arial" w:hAnsi="Arial" w:cs="Arial"/>
          <w:color w:val="auto"/>
          <w:sz w:val="22"/>
          <w:szCs w:val="22"/>
        </w:rPr>
      </w:pPr>
      <w:r w:rsidRPr="00F31655">
        <w:rPr>
          <w:rFonts w:ascii="Arial" w:hAnsi="Arial" w:cs="Arial"/>
          <w:color w:val="auto"/>
          <w:sz w:val="22"/>
          <w:szCs w:val="22"/>
        </w:rPr>
        <w:t>ENTRADA DESCRIPTIVA CON LA APLICACIÓN DE</w:t>
      </w:r>
    </w:p>
    <w:p w14:paraId="6606E7B0" w14:textId="3EF61C0B" w:rsidR="00F2227A" w:rsidRPr="00F31655" w:rsidRDefault="00F2227A" w:rsidP="00F31655">
      <w:pPr>
        <w:pStyle w:val="Ttulo1"/>
        <w:spacing w:before="0"/>
        <w:jc w:val="center"/>
        <w:rPr>
          <w:rFonts w:ascii="Arial" w:hAnsi="Arial" w:cs="Arial"/>
          <w:color w:val="auto"/>
          <w:sz w:val="22"/>
          <w:szCs w:val="22"/>
        </w:rPr>
      </w:pPr>
      <w:r w:rsidRPr="00F31655">
        <w:rPr>
          <w:rFonts w:ascii="Arial" w:hAnsi="Arial" w:cs="Arial"/>
          <w:color w:val="auto"/>
          <w:sz w:val="22"/>
          <w:szCs w:val="22"/>
        </w:rPr>
        <w:t>LA NORMA INTERNACIONAL ISAD (G)</w:t>
      </w:r>
    </w:p>
    <w:p w14:paraId="7768E2B1" w14:textId="4E04CEC6" w:rsidR="00F2227A" w:rsidRDefault="00F2227A" w:rsidP="005D1944">
      <w:pPr>
        <w:pStyle w:val="Ttulo1"/>
        <w:spacing w:before="0"/>
        <w:jc w:val="center"/>
        <w:rPr>
          <w:rFonts w:ascii="Arial" w:hAnsi="Arial" w:cs="Arial"/>
          <w:color w:val="auto"/>
          <w:sz w:val="22"/>
          <w:szCs w:val="22"/>
        </w:rPr>
      </w:pPr>
      <w:r w:rsidRPr="00F31655">
        <w:rPr>
          <w:rFonts w:ascii="Arial" w:hAnsi="Arial" w:cs="Arial"/>
          <w:color w:val="auto"/>
          <w:sz w:val="22"/>
          <w:szCs w:val="22"/>
        </w:rPr>
        <w:t>FONDO: MINISTERIO DE RELACIONES EXTERIORES Y CULTO</w:t>
      </w:r>
    </w:p>
    <w:p w14:paraId="297D62E3" w14:textId="77777777" w:rsidR="005D1944" w:rsidRDefault="005D1944" w:rsidP="005D1944"/>
    <w:p w14:paraId="4A4779F4" w14:textId="77777777" w:rsidR="005D1944" w:rsidRPr="005D1944" w:rsidRDefault="005D1944" w:rsidP="005D1944">
      <w:bookmarkStart w:id="0" w:name="_GoBack"/>
      <w:bookmarkEnd w:id="0"/>
    </w:p>
    <w:p w14:paraId="0DCD9CFC" w14:textId="77777777" w:rsidR="00F2227A" w:rsidRPr="00F2227A" w:rsidRDefault="00F2227A" w:rsidP="00F2227A">
      <w:pPr>
        <w:numPr>
          <w:ilvl w:val="0"/>
          <w:numId w:val="18"/>
        </w:numPr>
        <w:jc w:val="both"/>
        <w:rPr>
          <w:rFonts w:cs="Arial"/>
          <w:b/>
          <w:bCs/>
        </w:rPr>
      </w:pPr>
      <w:r w:rsidRPr="00F2227A">
        <w:rPr>
          <w:rFonts w:cs="Arial"/>
          <w:b/>
          <w:bCs/>
        </w:rPr>
        <w:t>ÁREA DE IDENTIFICACIÓN</w:t>
      </w:r>
    </w:p>
    <w:p w14:paraId="240C2C9E" w14:textId="77777777" w:rsidR="00F2227A" w:rsidRPr="00F2227A" w:rsidRDefault="00F2227A" w:rsidP="00F2227A">
      <w:pPr>
        <w:jc w:val="both"/>
        <w:rPr>
          <w:rFonts w:cs="Arial"/>
        </w:rPr>
      </w:pPr>
    </w:p>
    <w:p w14:paraId="02185E4D" w14:textId="77777777" w:rsidR="00F2227A" w:rsidRPr="00F2227A" w:rsidRDefault="00F2227A" w:rsidP="00F2227A">
      <w:pPr>
        <w:numPr>
          <w:ilvl w:val="1"/>
          <w:numId w:val="18"/>
        </w:numPr>
        <w:jc w:val="both"/>
        <w:rPr>
          <w:rFonts w:cs="Arial"/>
          <w:b/>
          <w:bCs/>
        </w:rPr>
      </w:pPr>
      <w:r w:rsidRPr="00F2227A">
        <w:rPr>
          <w:rFonts w:cs="Arial"/>
          <w:b/>
          <w:bCs/>
        </w:rPr>
        <w:t xml:space="preserve">CÓDIGO DE REFERENCIA: </w:t>
      </w:r>
    </w:p>
    <w:p w14:paraId="7BE66C96" w14:textId="77777777" w:rsidR="00F2227A" w:rsidRPr="00F2227A" w:rsidRDefault="00F2227A" w:rsidP="00F2227A">
      <w:pPr>
        <w:ind w:left="708"/>
        <w:jc w:val="both"/>
        <w:rPr>
          <w:rFonts w:cs="Arial"/>
          <w:b/>
          <w:bCs/>
          <w:lang w:val="en-US"/>
        </w:rPr>
      </w:pPr>
      <w:r w:rsidRPr="00F2227A">
        <w:rPr>
          <w:rFonts w:cs="Arial"/>
          <w:lang w:val="en-US"/>
        </w:rPr>
        <w:t>CR-AN-AH-</w:t>
      </w:r>
      <w:r w:rsidRPr="00F2227A">
        <w:rPr>
          <w:rFonts w:cs="Arial"/>
          <w:color w:val="000000"/>
          <w:lang w:val="en-US"/>
        </w:rPr>
        <w:t>MRREE-</w:t>
      </w:r>
      <w:r w:rsidRPr="00F2227A">
        <w:rPr>
          <w:rFonts w:cs="Arial"/>
          <w:lang w:val="en-US"/>
        </w:rPr>
        <w:t>000001-016231</w:t>
      </w:r>
    </w:p>
    <w:p w14:paraId="51E0B4AC" w14:textId="77777777" w:rsidR="00F2227A" w:rsidRPr="00F2227A" w:rsidRDefault="00F2227A" w:rsidP="00F2227A">
      <w:pPr>
        <w:ind w:left="708"/>
        <w:jc w:val="both"/>
        <w:rPr>
          <w:rFonts w:cs="Arial"/>
          <w:lang w:val="en-US"/>
        </w:rPr>
      </w:pPr>
      <w:r w:rsidRPr="00F2227A">
        <w:rPr>
          <w:rFonts w:cs="Arial"/>
          <w:lang w:val="en-US"/>
        </w:rPr>
        <w:t>CR-AN-AH-</w:t>
      </w:r>
      <w:r w:rsidRPr="00F2227A">
        <w:rPr>
          <w:rFonts w:cs="Arial"/>
          <w:color w:val="000000"/>
          <w:lang w:val="en-US"/>
        </w:rPr>
        <w:t>MRREE-DEPTRAINT-CONVETRA-</w:t>
      </w:r>
      <w:r w:rsidRPr="00F2227A">
        <w:rPr>
          <w:rFonts w:cs="Arial"/>
          <w:lang w:val="en-US"/>
        </w:rPr>
        <w:t>000001-001364</w:t>
      </w:r>
    </w:p>
    <w:p w14:paraId="348016E8" w14:textId="77777777" w:rsidR="00F2227A" w:rsidRPr="00F2227A" w:rsidRDefault="00F2227A" w:rsidP="00F2227A">
      <w:pPr>
        <w:ind w:left="708"/>
        <w:jc w:val="both"/>
        <w:rPr>
          <w:rFonts w:cs="Arial"/>
          <w:lang w:val="en-US"/>
        </w:rPr>
      </w:pPr>
      <w:r w:rsidRPr="00F2227A">
        <w:rPr>
          <w:rFonts w:cs="Arial"/>
          <w:lang w:val="en-US"/>
        </w:rPr>
        <w:t>CR-AN-AH-</w:t>
      </w:r>
      <w:r w:rsidRPr="00F2227A">
        <w:rPr>
          <w:rFonts w:cs="Arial"/>
          <w:color w:val="000000"/>
          <w:lang w:val="en-US"/>
        </w:rPr>
        <w:t>MRREE-DEPDIP-EXPLYC-</w:t>
      </w:r>
      <w:r w:rsidRPr="00F2227A">
        <w:rPr>
          <w:rFonts w:cs="Arial"/>
          <w:lang w:val="en-US"/>
        </w:rPr>
        <w:t>000001-000556 cajas</w:t>
      </w:r>
    </w:p>
    <w:p w14:paraId="30FB95C1" w14:textId="77777777" w:rsidR="00F2227A" w:rsidRPr="00F2227A" w:rsidRDefault="00F2227A" w:rsidP="00F2227A">
      <w:pPr>
        <w:jc w:val="both"/>
        <w:rPr>
          <w:rFonts w:cs="Arial"/>
          <w:lang w:val="en-US"/>
        </w:rPr>
      </w:pPr>
    </w:p>
    <w:p w14:paraId="3EACCDED" w14:textId="77777777" w:rsidR="00F2227A" w:rsidRPr="00F2227A" w:rsidRDefault="00F2227A" w:rsidP="00F2227A">
      <w:pPr>
        <w:numPr>
          <w:ilvl w:val="1"/>
          <w:numId w:val="18"/>
        </w:numPr>
        <w:jc w:val="both"/>
        <w:rPr>
          <w:rFonts w:cs="Arial"/>
          <w:b/>
          <w:bCs/>
        </w:rPr>
      </w:pPr>
      <w:r w:rsidRPr="00F2227A">
        <w:rPr>
          <w:rFonts w:cs="Arial"/>
          <w:b/>
          <w:bCs/>
        </w:rPr>
        <w:t>TÍTULO:</w:t>
      </w:r>
      <w:r w:rsidRPr="00F2227A">
        <w:rPr>
          <w:rFonts w:cs="Arial"/>
          <w:color w:val="000000"/>
        </w:rPr>
        <w:t xml:space="preserve"> Ministerio de Relaciones Exteriores y Culto</w:t>
      </w:r>
    </w:p>
    <w:p w14:paraId="0664DB83" w14:textId="77777777" w:rsidR="00F2227A" w:rsidRPr="00F2227A" w:rsidRDefault="00F2227A" w:rsidP="00F2227A">
      <w:pPr>
        <w:jc w:val="both"/>
        <w:rPr>
          <w:rFonts w:cs="Arial"/>
        </w:rPr>
      </w:pPr>
    </w:p>
    <w:p w14:paraId="6645DEF8" w14:textId="77777777" w:rsidR="00F2227A" w:rsidRPr="00F2227A" w:rsidRDefault="00F2227A" w:rsidP="00F2227A">
      <w:pPr>
        <w:numPr>
          <w:ilvl w:val="1"/>
          <w:numId w:val="18"/>
        </w:numPr>
        <w:jc w:val="both"/>
        <w:rPr>
          <w:rFonts w:cs="Arial"/>
          <w:b/>
          <w:bCs/>
        </w:rPr>
      </w:pPr>
      <w:r w:rsidRPr="00F2227A">
        <w:rPr>
          <w:rFonts w:cs="Arial"/>
          <w:b/>
          <w:bCs/>
        </w:rPr>
        <w:t>FECHAS (S):</w:t>
      </w:r>
      <w:r w:rsidRPr="00F2227A">
        <w:rPr>
          <w:rFonts w:cs="Arial"/>
          <w:color w:val="000000"/>
        </w:rPr>
        <w:t xml:space="preserve"> 1825   2014</w:t>
      </w:r>
    </w:p>
    <w:p w14:paraId="2187BAA5" w14:textId="77777777" w:rsidR="00F2227A" w:rsidRPr="00F2227A" w:rsidRDefault="00F2227A" w:rsidP="00F2227A">
      <w:pPr>
        <w:jc w:val="both"/>
        <w:rPr>
          <w:rFonts w:cs="Arial"/>
        </w:rPr>
      </w:pPr>
    </w:p>
    <w:p w14:paraId="6F100AA7" w14:textId="77777777" w:rsidR="00F2227A" w:rsidRPr="00F2227A" w:rsidRDefault="00F2227A" w:rsidP="00F2227A">
      <w:pPr>
        <w:numPr>
          <w:ilvl w:val="1"/>
          <w:numId w:val="18"/>
        </w:numPr>
        <w:jc w:val="both"/>
        <w:rPr>
          <w:rFonts w:cs="Arial"/>
          <w:b/>
          <w:bCs/>
        </w:rPr>
      </w:pPr>
      <w:r w:rsidRPr="00F2227A">
        <w:rPr>
          <w:rFonts w:cs="Arial"/>
          <w:b/>
          <w:bCs/>
        </w:rPr>
        <w:t>NIVEL DE DESCRIPCIÓN:</w:t>
      </w:r>
      <w:r w:rsidRPr="00F2227A">
        <w:rPr>
          <w:rFonts w:cs="Arial"/>
          <w:color w:val="000000"/>
        </w:rPr>
        <w:t xml:space="preserve"> Fondo</w:t>
      </w:r>
    </w:p>
    <w:p w14:paraId="5575AA25" w14:textId="77777777" w:rsidR="00F2227A" w:rsidRPr="00F2227A" w:rsidRDefault="00F2227A" w:rsidP="00F2227A">
      <w:pPr>
        <w:jc w:val="both"/>
        <w:rPr>
          <w:rFonts w:cs="Arial"/>
          <w:b/>
          <w:bCs/>
        </w:rPr>
      </w:pPr>
    </w:p>
    <w:p w14:paraId="1E0D227D" w14:textId="77777777" w:rsidR="00F2227A" w:rsidRPr="00F2227A" w:rsidRDefault="00F2227A" w:rsidP="00F2227A">
      <w:pPr>
        <w:numPr>
          <w:ilvl w:val="1"/>
          <w:numId w:val="18"/>
        </w:numPr>
        <w:jc w:val="both"/>
        <w:rPr>
          <w:rFonts w:cs="Arial"/>
          <w:b/>
          <w:bCs/>
        </w:rPr>
      </w:pPr>
      <w:r w:rsidRPr="00F2227A">
        <w:rPr>
          <w:rFonts w:cs="Arial"/>
          <w:b/>
          <w:bCs/>
        </w:rPr>
        <w:t xml:space="preserve">VOLUMEN Y SOPORTE DE LA UNIDAD DE DESCRIPCIÓN (CANTIDAD, TAMAÑO O DIMIENSIONES): </w:t>
      </w:r>
      <w:r w:rsidRPr="00F2227A">
        <w:rPr>
          <w:rFonts w:cs="Arial"/>
          <w:bCs/>
        </w:rPr>
        <w:t>319</w:t>
      </w:r>
      <w:r w:rsidRPr="00F2227A">
        <w:rPr>
          <w:rFonts w:cs="Arial"/>
          <w:color w:val="000000"/>
        </w:rPr>
        <w:t xml:space="preserve"> metros (incluye 135 libros) del Archivo Histórico.</w:t>
      </w:r>
    </w:p>
    <w:p w14:paraId="78F0CF1A" w14:textId="77777777" w:rsidR="00F2227A" w:rsidRPr="00F2227A" w:rsidRDefault="00F2227A" w:rsidP="00F2227A">
      <w:pPr>
        <w:jc w:val="both"/>
        <w:rPr>
          <w:rFonts w:cs="Arial"/>
          <w:b/>
          <w:bCs/>
        </w:rPr>
      </w:pPr>
    </w:p>
    <w:p w14:paraId="49461367" w14:textId="77777777" w:rsidR="00F2227A" w:rsidRPr="00F2227A" w:rsidRDefault="00F2227A" w:rsidP="00F2227A">
      <w:pPr>
        <w:jc w:val="both"/>
        <w:rPr>
          <w:rFonts w:cs="Arial"/>
          <w:b/>
          <w:bCs/>
        </w:rPr>
      </w:pPr>
    </w:p>
    <w:p w14:paraId="2063331B" w14:textId="77777777" w:rsidR="00F2227A" w:rsidRPr="00F2227A" w:rsidRDefault="00F2227A" w:rsidP="00F2227A">
      <w:pPr>
        <w:numPr>
          <w:ilvl w:val="0"/>
          <w:numId w:val="18"/>
        </w:numPr>
        <w:jc w:val="both"/>
        <w:rPr>
          <w:rFonts w:cs="Arial"/>
          <w:b/>
          <w:bCs/>
        </w:rPr>
      </w:pPr>
      <w:r w:rsidRPr="00F2227A">
        <w:rPr>
          <w:rFonts w:cs="Arial"/>
          <w:b/>
          <w:bCs/>
        </w:rPr>
        <w:t>ÁREA DE CONTEXTO</w:t>
      </w:r>
    </w:p>
    <w:p w14:paraId="18AC60BD" w14:textId="77777777" w:rsidR="00F2227A" w:rsidRPr="00F2227A" w:rsidRDefault="00F2227A" w:rsidP="00F2227A">
      <w:pPr>
        <w:jc w:val="both"/>
        <w:rPr>
          <w:rFonts w:cs="Arial"/>
        </w:rPr>
      </w:pPr>
    </w:p>
    <w:p w14:paraId="2807E28B" w14:textId="77777777" w:rsidR="00F2227A" w:rsidRPr="00F2227A" w:rsidRDefault="00F2227A" w:rsidP="00F2227A">
      <w:pPr>
        <w:pStyle w:val="Textosinformato"/>
        <w:numPr>
          <w:ilvl w:val="1"/>
          <w:numId w:val="18"/>
        </w:numPr>
        <w:jc w:val="both"/>
        <w:rPr>
          <w:rFonts w:ascii="Arial" w:hAnsi="Arial" w:cs="Arial"/>
          <w:color w:val="000000"/>
          <w:sz w:val="22"/>
          <w:szCs w:val="22"/>
        </w:rPr>
      </w:pPr>
      <w:r w:rsidRPr="00F2227A">
        <w:rPr>
          <w:rFonts w:ascii="Arial" w:hAnsi="Arial" w:cs="Arial"/>
          <w:b/>
          <w:bCs/>
          <w:sz w:val="22"/>
          <w:szCs w:val="22"/>
        </w:rPr>
        <w:t xml:space="preserve">NOMBRE DEL O DE LOS PRODUCTOR (ES) / COLECCIONISTA (S): </w:t>
      </w:r>
      <w:r w:rsidRPr="00F2227A">
        <w:rPr>
          <w:rFonts w:ascii="Arial" w:hAnsi="Arial" w:cs="Arial"/>
          <w:color w:val="000000"/>
          <w:sz w:val="22"/>
          <w:szCs w:val="22"/>
        </w:rPr>
        <w:t xml:space="preserve">Secretaría de Gobernación, Relaciones Exteriores e Interiores; </w:t>
      </w:r>
      <w:r w:rsidRPr="00F2227A">
        <w:rPr>
          <w:rFonts w:ascii="Arial" w:hAnsi="Arial" w:cs="Arial"/>
          <w:sz w:val="22"/>
          <w:szCs w:val="22"/>
        </w:rPr>
        <w:t xml:space="preserve">Secretaría de Relaciones Exteriores de San José y </w:t>
      </w:r>
      <w:r w:rsidRPr="00F2227A">
        <w:rPr>
          <w:rFonts w:ascii="Arial" w:hAnsi="Arial" w:cs="Arial"/>
          <w:color w:val="000000"/>
          <w:sz w:val="22"/>
          <w:szCs w:val="22"/>
        </w:rPr>
        <w:t>Ministerio de Relaciones Exteriores y Culto.</w:t>
      </w:r>
    </w:p>
    <w:p w14:paraId="518AA498" w14:textId="77777777" w:rsidR="00F2227A" w:rsidRPr="00F2227A" w:rsidRDefault="00F2227A" w:rsidP="00F2227A">
      <w:pPr>
        <w:jc w:val="both"/>
        <w:rPr>
          <w:rFonts w:cs="Arial"/>
          <w:lang w:eastAsia="es-CR"/>
        </w:rPr>
      </w:pPr>
    </w:p>
    <w:p w14:paraId="4ED93A9A" w14:textId="77777777" w:rsidR="00F2227A" w:rsidRPr="00F2227A" w:rsidRDefault="00F2227A" w:rsidP="00F2227A">
      <w:pPr>
        <w:pStyle w:val="Textosinformato"/>
        <w:numPr>
          <w:ilvl w:val="1"/>
          <w:numId w:val="18"/>
        </w:numPr>
        <w:jc w:val="both"/>
        <w:rPr>
          <w:rFonts w:ascii="Arial" w:hAnsi="Arial" w:cs="Arial"/>
          <w:color w:val="000000"/>
          <w:sz w:val="22"/>
          <w:szCs w:val="22"/>
        </w:rPr>
      </w:pPr>
      <w:r w:rsidRPr="00F2227A">
        <w:rPr>
          <w:rFonts w:ascii="Arial" w:hAnsi="Arial" w:cs="Arial"/>
          <w:b/>
          <w:bCs/>
          <w:sz w:val="22"/>
          <w:szCs w:val="22"/>
        </w:rPr>
        <w:t xml:space="preserve">HISTORIA INSTITUCIONAL / RESEÑA BIOGRÁFICA: </w:t>
      </w:r>
      <w:r w:rsidRPr="00F2227A">
        <w:rPr>
          <w:rFonts w:ascii="Arial" w:hAnsi="Arial" w:cs="Arial"/>
          <w:color w:val="000000"/>
          <w:sz w:val="22"/>
          <w:szCs w:val="22"/>
        </w:rPr>
        <w:t xml:space="preserve">Nace como Ministerio en la Constitución Política de 1844, con el nombre de Secretaría de Gobernación, Relaciones Exteriores e Interiores. Su propósito es regular el intercambio diplomático, y surge ante la necesidad que tiene el país de tener reconocimiento internacional como nación soberana y para establecer vínculos comerciales. El primer Ministro fue Joaquín Bernardo Calvo, quien anteriormente funge como Ministro General de Gobierno. Originalmente, las funciones de este Ministerio están concentradas en la atención de los asuntos internos del país: gobiernos locales -Jefes Políticos- y la solución de conflictos a través de los Jueces de 1ª y 2ª Instancia. Los documentos denominados terminaciones verbales son testimonio de dichas acciones. Para 1849 el Ministerio está conformado por dos áreas, la Interior y la Exterior. La interior se aboca a las reformas constitucionales, ejecución de las leyes, tranquilidad general, población y salud pública, caminos, obras públicas, administración de justicia, culto e instrucción pública. La Exterior maneja las relaciones exteriores y las relaciones con los Estados de la antigua Federación Centroamericana. Entre 1849 y 1853, durante la Administración de Juan Rafael Mora Porras, las funciones del Ministerio de Gobernación, Relaciones Exteriores e Interiores se mantienen iguales, con excepción de los ramos de Relaciones Exteriores e Instrucción Pública, los cuales le son sustraídos para crear un tercer ministerio con ese nombre. </w:t>
      </w:r>
    </w:p>
    <w:p w14:paraId="7EAA088C" w14:textId="77777777" w:rsidR="00F2227A" w:rsidRPr="00F2227A" w:rsidRDefault="00F2227A" w:rsidP="00F2227A">
      <w:pPr>
        <w:ind w:left="420"/>
        <w:jc w:val="both"/>
        <w:rPr>
          <w:rFonts w:cs="Arial"/>
          <w:color w:val="000000"/>
        </w:rPr>
      </w:pPr>
      <w:r w:rsidRPr="00F2227A">
        <w:rPr>
          <w:rFonts w:cs="Arial"/>
          <w:color w:val="000000"/>
        </w:rPr>
        <w:t xml:space="preserve">Durante el período de 1866 y 1868, se le conoce como Ministerio de Relaciones Exteriores, Hacienda, Instrucción Pública y Negocios Eclesiásticos.  Un año después se le conoce como Ministerio de Relaciones Exteriores, Instrucción Pública, Culto y Beneficencia. Hacia </w:t>
      </w:r>
      <w:r w:rsidRPr="00F2227A">
        <w:rPr>
          <w:rFonts w:cs="Arial"/>
          <w:color w:val="000000"/>
        </w:rPr>
        <w:lastRenderedPageBreak/>
        <w:t>1888 se le recarga la cartera de Gobernación, manteniéndose así hasta 1917, cuando a raíz de las disposiciones de la Constitución Política de ese año -artículos 105 al 106- se crean tantas Secretarías de Estado como son necesarias, y se pueden encargar a un mismo Secretario dos o más de ellas. A partir de 1949 se le denomina Ministerio de Relaciones Exteriores y Culto, y su Ley Orgánica es aprobada el 18 de julio de 1962, en tanto que su Estatuto de Servicio Exterior surge el 5 de agosto de 1965. En la actualidad, el Ministerio coopera con el Presidente de la República en la formulación de la política exterior del país, la orientación de sus relaciones internacionales y en la salvaguarda de la soberanía nacional.</w:t>
      </w:r>
    </w:p>
    <w:p w14:paraId="5C16E48F" w14:textId="77777777" w:rsidR="00F2227A" w:rsidRPr="00F2227A" w:rsidRDefault="00F2227A" w:rsidP="00F2227A">
      <w:pPr>
        <w:ind w:left="420"/>
        <w:jc w:val="both"/>
        <w:rPr>
          <w:rFonts w:cs="Arial"/>
          <w:color w:val="000000"/>
        </w:rPr>
      </w:pPr>
    </w:p>
    <w:p w14:paraId="754B2BF8" w14:textId="77777777" w:rsidR="00F2227A" w:rsidRPr="00F2227A" w:rsidRDefault="00F2227A" w:rsidP="00F2227A">
      <w:pPr>
        <w:numPr>
          <w:ilvl w:val="1"/>
          <w:numId w:val="18"/>
        </w:numPr>
        <w:jc w:val="both"/>
        <w:rPr>
          <w:rFonts w:cs="Arial"/>
          <w:b/>
          <w:bCs/>
        </w:rPr>
      </w:pPr>
      <w:r w:rsidRPr="00F2227A">
        <w:rPr>
          <w:rFonts w:cs="Arial"/>
          <w:b/>
          <w:bCs/>
        </w:rPr>
        <w:t xml:space="preserve">HISTORIA ARCHIVÍSTICA: </w:t>
      </w:r>
      <w:r w:rsidRPr="00F2227A">
        <w:rPr>
          <w:rFonts w:cs="Arial"/>
        </w:rPr>
        <w:t>Una de las transferencias más antiguas registrada, corresponde a la remesa 975 de la Secretaría de Relaciones Exteriores de San José, con fecha del 24 de noviembre de 1926; posterior a esa fecha se siguieron recibiendo en el Archivo Nacional documentos del Ministerio de Relaciones Exteriores y Culto, el cual decidió remitir una serie de convenios internacionales pertenecientes a esa Cancillería para garantizar su mejor custodia y conservación.</w:t>
      </w:r>
    </w:p>
    <w:p w14:paraId="5FE2CA1E" w14:textId="77777777" w:rsidR="00F2227A" w:rsidRPr="00F2227A" w:rsidRDefault="00F2227A" w:rsidP="00F2227A">
      <w:pPr>
        <w:ind w:left="420"/>
        <w:jc w:val="both"/>
        <w:rPr>
          <w:rFonts w:cs="Arial"/>
          <w:lang w:val="es-ES"/>
        </w:rPr>
      </w:pPr>
      <w:r w:rsidRPr="00F2227A">
        <w:rPr>
          <w:rFonts w:cs="Arial"/>
        </w:rPr>
        <w:t>Asimismo, entre 1981 y previo a la emisión de la ley 7202 de 1990, se recibieron en el Archivo Nacional, varias fotografías correspondientes a la administración de turno.</w:t>
      </w:r>
    </w:p>
    <w:p w14:paraId="1A70D903" w14:textId="77777777" w:rsidR="00F2227A" w:rsidRPr="00F2227A" w:rsidRDefault="00F2227A" w:rsidP="00F2227A">
      <w:pPr>
        <w:ind w:left="420"/>
        <w:jc w:val="both"/>
        <w:rPr>
          <w:rFonts w:cs="Arial"/>
        </w:rPr>
      </w:pPr>
      <w:r w:rsidRPr="00F2227A">
        <w:rPr>
          <w:rFonts w:cs="Arial"/>
        </w:rPr>
        <w:t>A partir de 1994, producto de la emisión de la Ley 7202 del Sistema Nacional de Archivos, del 24 de octubre de 1990, específicamente en su artículo 53, se comienzan a recibir transferencias de los documentos producidos en los Despachos de los Ministros y Viceministros.</w:t>
      </w:r>
    </w:p>
    <w:p w14:paraId="76420215" w14:textId="77777777" w:rsidR="00F2227A" w:rsidRPr="00F2227A" w:rsidRDefault="00F2227A" w:rsidP="00F2227A">
      <w:pPr>
        <w:ind w:left="420"/>
        <w:jc w:val="both"/>
        <w:rPr>
          <w:rFonts w:cs="Arial"/>
          <w:b/>
          <w:bCs/>
        </w:rPr>
      </w:pPr>
      <w:r w:rsidRPr="00F2227A">
        <w:rPr>
          <w:rFonts w:cs="Arial"/>
        </w:rPr>
        <w:t>En el año 2013 se realizó un diagnóstico archivístico al fondo documental, y se encuentra en proceso de implementación de recomendaciones.</w:t>
      </w:r>
    </w:p>
    <w:p w14:paraId="5D56D018" w14:textId="77777777" w:rsidR="00F2227A" w:rsidRPr="00F2227A" w:rsidRDefault="00F2227A" w:rsidP="00F2227A">
      <w:pPr>
        <w:jc w:val="both"/>
        <w:rPr>
          <w:rFonts w:cs="Arial"/>
        </w:rPr>
      </w:pPr>
    </w:p>
    <w:p w14:paraId="667A1B48" w14:textId="77777777" w:rsidR="00F2227A" w:rsidRPr="00F2227A" w:rsidRDefault="00F2227A" w:rsidP="00F2227A">
      <w:pPr>
        <w:pStyle w:val="Textosinformato"/>
        <w:numPr>
          <w:ilvl w:val="1"/>
          <w:numId w:val="18"/>
        </w:numPr>
        <w:jc w:val="both"/>
        <w:rPr>
          <w:rFonts w:ascii="Arial" w:hAnsi="Arial" w:cs="Arial"/>
          <w:color w:val="000000"/>
          <w:sz w:val="22"/>
          <w:szCs w:val="22"/>
        </w:rPr>
      </w:pPr>
      <w:r w:rsidRPr="00F2227A">
        <w:rPr>
          <w:rFonts w:ascii="Arial" w:hAnsi="Arial" w:cs="Arial"/>
          <w:b/>
          <w:bCs/>
          <w:sz w:val="22"/>
          <w:szCs w:val="22"/>
        </w:rPr>
        <w:t xml:space="preserve">FORMA DE INGRESO: </w:t>
      </w:r>
      <w:r w:rsidRPr="00F2227A">
        <w:rPr>
          <w:rFonts w:ascii="Arial" w:hAnsi="Arial" w:cs="Arial"/>
          <w:bCs/>
          <w:sz w:val="22"/>
          <w:szCs w:val="22"/>
        </w:rPr>
        <w:t>Transferencia.</w:t>
      </w:r>
    </w:p>
    <w:p w14:paraId="75758EF1" w14:textId="77777777" w:rsidR="00F2227A" w:rsidRPr="00F2227A" w:rsidRDefault="00F2227A" w:rsidP="00F2227A">
      <w:pPr>
        <w:jc w:val="both"/>
        <w:rPr>
          <w:rFonts w:cs="Arial"/>
        </w:rPr>
      </w:pPr>
    </w:p>
    <w:p w14:paraId="39F9A212" w14:textId="77777777" w:rsidR="00F2227A" w:rsidRPr="00F2227A" w:rsidRDefault="00F2227A" w:rsidP="00F2227A">
      <w:pPr>
        <w:ind w:left="360"/>
        <w:jc w:val="both"/>
        <w:rPr>
          <w:rFonts w:cs="Arial"/>
          <w:b/>
          <w:bCs/>
        </w:rPr>
      </w:pPr>
    </w:p>
    <w:p w14:paraId="38CB6362" w14:textId="77777777" w:rsidR="00F2227A" w:rsidRPr="00F2227A" w:rsidRDefault="00F2227A" w:rsidP="00F2227A">
      <w:pPr>
        <w:numPr>
          <w:ilvl w:val="0"/>
          <w:numId w:val="18"/>
        </w:numPr>
        <w:jc w:val="both"/>
        <w:rPr>
          <w:rFonts w:cs="Arial"/>
          <w:b/>
          <w:bCs/>
        </w:rPr>
      </w:pPr>
      <w:r w:rsidRPr="00F2227A">
        <w:rPr>
          <w:rFonts w:cs="Arial"/>
          <w:b/>
          <w:bCs/>
        </w:rPr>
        <w:t>ÁREA DE CONTENIDO Y ESTRUCTURA</w:t>
      </w:r>
    </w:p>
    <w:p w14:paraId="6DB06E15" w14:textId="77777777" w:rsidR="00F2227A" w:rsidRPr="00F2227A" w:rsidRDefault="00F2227A" w:rsidP="00F2227A">
      <w:pPr>
        <w:jc w:val="both"/>
        <w:rPr>
          <w:rFonts w:cs="Arial"/>
        </w:rPr>
      </w:pPr>
    </w:p>
    <w:p w14:paraId="247C0069" w14:textId="77777777" w:rsidR="00F2227A" w:rsidRPr="00F2227A" w:rsidRDefault="00F2227A" w:rsidP="00F2227A">
      <w:pPr>
        <w:numPr>
          <w:ilvl w:val="1"/>
          <w:numId w:val="18"/>
        </w:numPr>
        <w:jc w:val="both"/>
        <w:rPr>
          <w:rFonts w:cs="Arial"/>
          <w:bCs/>
        </w:rPr>
      </w:pPr>
      <w:r w:rsidRPr="00F2227A">
        <w:rPr>
          <w:rFonts w:cs="Arial"/>
          <w:b/>
          <w:bCs/>
        </w:rPr>
        <w:t>ALCANCE Y CONTENIDO:</w:t>
      </w:r>
      <w:r w:rsidRPr="00F2227A">
        <w:rPr>
          <w:rFonts w:cs="Arial"/>
          <w:color w:val="000000"/>
        </w:rPr>
        <w:t xml:space="preserve"> Entre los documentos custodiados en el fondo de Relaciones Exteriores, podemos encontrar en su mayoría correspondencia</w:t>
      </w:r>
      <w:r w:rsidRPr="00F2227A">
        <w:rPr>
          <w:rFonts w:cs="Arial"/>
          <w:bCs/>
        </w:rPr>
        <w:t xml:space="preserve"> que refleja toda relación con los diferentes consulados y embajadas de Costa Rica en otros países, y con todas aquellas naciones que nuestro país tenga una relación diplomática.</w:t>
      </w:r>
    </w:p>
    <w:p w14:paraId="44287B76" w14:textId="77777777" w:rsidR="00F2227A" w:rsidRPr="00F2227A" w:rsidRDefault="00F2227A" w:rsidP="00F2227A">
      <w:pPr>
        <w:ind w:left="420"/>
        <w:jc w:val="both"/>
        <w:rPr>
          <w:rFonts w:cs="Arial"/>
          <w:bCs/>
        </w:rPr>
      </w:pPr>
      <w:r w:rsidRPr="00F2227A">
        <w:rPr>
          <w:rFonts w:cs="Arial"/>
          <w:bCs/>
        </w:rPr>
        <w:t>Asimismo, encontramos cartas autógrafas, convenios y tratados, expedientes de límites de Costa Rica con Colombia, Nicaragua y Panamá, y expedientes de legaciones y consulados.</w:t>
      </w:r>
    </w:p>
    <w:p w14:paraId="60152400" w14:textId="77777777" w:rsidR="00F2227A" w:rsidRPr="00F2227A" w:rsidRDefault="00F2227A" w:rsidP="00F2227A">
      <w:pPr>
        <w:jc w:val="both"/>
        <w:rPr>
          <w:rFonts w:cs="Arial"/>
        </w:rPr>
      </w:pPr>
    </w:p>
    <w:p w14:paraId="2612EE71" w14:textId="77777777" w:rsidR="00F2227A" w:rsidRPr="00F2227A" w:rsidRDefault="00F2227A" w:rsidP="00F2227A">
      <w:pPr>
        <w:numPr>
          <w:ilvl w:val="1"/>
          <w:numId w:val="18"/>
        </w:numPr>
        <w:ind w:left="360"/>
        <w:jc w:val="both"/>
        <w:rPr>
          <w:rFonts w:cs="Arial"/>
          <w:lang w:val="es-ES"/>
        </w:rPr>
      </w:pPr>
      <w:r w:rsidRPr="00F2227A">
        <w:rPr>
          <w:rFonts w:cs="Arial"/>
          <w:b/>
          <w:bCs/>
        </w:rPr>
        <w:t xml:space="preserve">VALORACIÓN, SELECCIÓN Y ELIMINACIÓN: </w:t>
      </w:r>
      <w:r w:rsidRPr="00F2227A">
        <w:rPr>
          <w:rFonts w:cs="Arial"/>
        </w:rPr>
        <w:t>Conservación permanente; valorado de conformidad mediante la Ley 3661 del Archivo Nacional del 10 de enero de 1966; y valor científico cultural y conservación permanente mediante la Ley 7202 del Sistema Nacional de Archivo del 24 de octubre de 1990.</w:t>
      </w:r>
    </w:p>
    <w:p w14:paraId="3F5221BE" w14:textId="77777777" w:rsidR="00F2227A" w:rsidRPr="00F2227A" w:rsidRDefault="00F2227A" w:rsidP="00F2227A">
      <w:pPr>
        <w:jc w:val="both"/>
        <w:rPr>
          <w:rFonts w:cs="Arial"/>
        </w:rPr>
      </w:pPr>
    </w:p>
    <w:p w14:paraId="4CE554CF" w14:textId="77777777" w:rsidR="00F2227A" w:rsidRPr="00F2227A" w:rsidRDefault="00F2227A" w:rsidP="00F2227A">
      <w:pPr>
        <w:numPr>
          <w:ilvl w:val="1"/>
          <w:numId w:val="18"/>
        </w:numPr>
        <w:jc w:val="both"/>
        <w:rPr>
          <w:rFonts w:cs="Arial"/>
          <w:b/>
          <w:bCs/>
        </w:rPr>
      </w:pPr>
      <w:r w:rsidRPr="00F2227A">
        <w:rPr>
          <w:rFonts w:cs="Arial"/>
          <w:b/>
          <w:bCs/>
        </w:rPr>
        <w:t>NUEVOS INGRESOS:</w:t>
      </w:r>
      <w:r w:rsidRPr="00F2227A">
        <w:rPr>
          <w:rFonts w:cs="Arial"/>
          <w:color w:val="000000"/>
        </w:rPr>
        <w:t xml:space="preserve"> Abierto</w:t>
      </w:r>
    </w:p>
    <w:p w14:paraId="14F35A6D" w14:textId="77777777" w:rsidR="00F2227A" w:rsidRPr="00F2227A" w:rsidRDefault="00F2227A" w:rsidP="00F2227A">
      <w:pPr>
        <w:jc w:val="both"/>
        <w:rPr>
          <w:rFonts w:cs="Arial"/>
        </w:rPr>
      </w:pPr>
    </w:p>
    <w:p w14:paraId="56E0B72D" w14:textId="77777777" w:rsidR="00F2227A" w:rsidRPr="00F2227A" w:rsidRDefault="00F2227A" w:rsidP="00F2227A">
      <w:pPr>
        <w:numPr>
          <w:ilvl w:val="1"/>
          <w:numId w:val="18"/>
        </w:numPr>
        <w:jc w:val="both"/>
        <w:rPr>
          <w:rFonts w:cs="Arial"/>
          <w:bCs/>
        </w:rPr>
      </w:pPr>
      <w:r w:rsidRPr="00F2227A">
        <w:rPr>
          <w:rFonts w:cs="Arial"/>
          <w:b/>
          <w:bCs/>
        </w:rPr>
        <w:t xml:space="preserve">ORGANIZACIÓN: </w:t>
      </w:r>
      <w:r w:rsidRPr="00F2227A">
        <w:rPr>
          <w:rFonts w:cs="Arial"/>
          <w:bCs/>
        </w:rPr>
        <w:t>Los documentos están dispuestos siguiendo una estructura de clasificación:</w:t>
      </w:r>
    </w:p>
    <w:p w14:paraId="09561D77" w14:textId="77777777" w:rsidR="00F2227A" w:rsidRPr="00F2227A" w:rsidRDefault="00F2227A" w:rsidP="00F2227A">
      <w:pPr>
        <w:jc w:val="center"/>
        <w:rPr>
          <w:rFonts w:cs="Arial"/>
          <w:b/>
          <w:bCs/>
        </w:rPr>
      </w:pPr>
      <w:r w:rsidRPr="00F2227A">
        <w:rPr>
          <w:rFonts w:cs="Arial"/>
          <w:b/>
          <w:bCs/>
        </w:rPr>
        <w:t>CUADRO DE CLASIFICACIÓN ARCHIVO HISTÓRICO</w:t>
      </w:r>
    </w:p>
    <w:p w14:paraId="47B50FE8" w14:textId="77777777" w:rsidR="00F2227A" w:rsidRPr="00F2227A" w:rsidRDefault="00F2227A" w:rsidP="00F2227A">
      <w:pPr>
        <w:pStyle w:val="Prrafodelista"/>
        <w:jc w:val="both"/>
        <w:rPr>
          <w:rFonts w:ascii="Arial" w:hAnsi="Arial" w:cs="Arial"/>
          <w:b/>
          <w:bCs/>
          <w:sz w:val="22"/>
          <w:szCs w:val="22"/>
          <w:lang w:val="es-CR"/>
        </w:rPr>
      </w:pPr>
    </w:p>
    <w:tbl>
      <w:tblPr>
        <w:tblStyle w:val="Tablaconcuadrcula"/>
        <w:tblW w:w="9048" w:type="dxa"/>
        <w:jc w:val="center"/>
        <w:tblLayout w:type="fixed"/>
        <w:tblLook w:val="01E0" w:firstRow="1" w:lastRow="1" w:firstColumn="1" w:lastColumn="1" w:noHBand="0" w:noVBand="0"/>
        <w:tblCaption w:val="Organización"/>
        <w:tblDescription w:val="Se muestra la organización del fondo en el Cuadro de Clasificación del Archivo Histórico&#10;"/>
      </w:tblPr>
      <w:tblGrid>
        <w:gridCol w:w="2316"/>
        <w:gridCol w:w="2559"/>
        <w:gridCol w:w="4173"/>
      </w:tblGrid>
      <w:tr w:rsidR="00F2227A" w:rsidRPr="00F2227A" w14:paraId="6F53659C" w14:textId="77777777" w:rsidTr="00F31655">
        <w:trPr>
          <w:trHeight w:val="318"/>
          <w:tblHeader/>
          <w:jc w:val="center"/>
        </w:trPr>
        <w:tc>
          <w:tcPr>
            <w:tcW w:w="2315" w:type="dxa"/>
            <w:hideMark/>
          </w:tcPr>
          <w:p w14:paraId="08302189" w14:textId="77777777" w:rsidR="00F2227A" w:rsidRPr="00F2227A" w:rsidRDefault="00F2227A" w:rsidP="00F31655">
            <w:pPr>
              <w:jc w:val="center"/>
              <w:rPr>
                <w:rFonts w:cs="Arial"/>
                <w:b/>
                <w:lang w:val="es-ES"/>
              </w:rPr>
            </w:pPr>
            <w:r w:rsidRPr="00F2227A">
              <w:rPr>
                <w:rFonts w:cs="Arial"/>
                <w:b/>
              </w:rPr>
              <w:lastRenderedPageBreak/>
              <w:t>FONDO NIVEL I</w:t>
            </w:r>
          </w:p>
        </w:tc>
        <w:tc>
          <w:tcPr>
            <w:tcW w:w="2558" w:type="dxa"/>
            <w:hideMark/>
          </w:tcPr>
          <w:p w14:paraId="3983279D" w14:textId="77777777" w:rsidR="00F2227A" w:rsidRPr="00F2227A" w:rsidRDefault="00F2227A" w:rsidP="00F31655">
            <w:pPr>
              <w:jc w:val="center"/>
              <w:rPr>
                <w:rFonts w:cs="Arial"/>
                <w:b/>
                <w:lang w:val="es-ES"/>
              </w:rPr>
            </w:pPr>
            <w:r w:rsidRPr="00F2227A">
              <w:rPr>
                <w:rFonts w:cs="Arial"/>
                <w:b/>
              </w:rPr>
              <w:t>SUBFONDO I</w:t>
            </w:r>
          </w:p>
        </w:tc>
        <w:tc>
          <w:tcPr>
            <w:tcW w:w="4172" w:type="dxa"/>
            <w:hideMark/>
          </w:tcPr>
          <w:p w14:paraId="77937744" w14:textId="77777777" w:rsidR="00F2227A" w:rsidRPr="00F2227A" w:rsidRDefault="00F2227A" w:rsidP="00F31655">
            <w:pPr>
              <w:jc w:val="center"/>
              <w:rPr>
                <w:rFonts w:cs="Arial"/>
                <w:b/>
                <w:lang w:val="es-ES"/>
              </w:rPr>
            </w:pPr>
            <w:r w:rsidRPr="00F2227A">
              <w:rPr>
                <w:rFonts w:cs="Arial"/>
                <w:b/>
              </w:rPr>
              <w:t>SERIE</w:t>
            </w:r>
          </w:p>
        </w:tc>
      </w:tr>
      <w:tr w:rsidR="00F2227A" w:rsidRPr="00F2227A" w14:paraId="0044AA4D" w14:textId="77777777" w:rsidTr="00F31655">
        <w:trPr>
          <w:trHeight w:val="2216"/>
          <w:jc w:val="center"/>
        </w:trPr>
        <w:tc>
          <w:tcPr>
            <w:tcW w:w="2315" w:type="dxa"/>
            <w:hideMark/>
          </w:tcPr>
          <w:p w14:paraId="6D6DFFE4" w14:textId="77777777" w:rsidR="00F2227A" w:rsidRPr="00F2227A" w:rsidRDefault="00F2227A" w:rsidP="00F2227A">
            <w:pPr>
              <w:jc w:val="both"/>
              <w:rPr>
                <w:rFonts w:cs="Arial"/>
                <w:color w:val="000000"/>
                <w:lang w:val="es-ES"/>
              </w:rPr>
            </w:pPr>
            <w:r w:rsidRPr="00F2227A">
              <w:rPr>
                <w:rFonts w:cs="Arial"/>
                <w:color w:val="000000"/>
              </w:rPr>
              <w:t>Ministerio de Relaciones Exteriores y Culto (MRREE)</w:t>
            </w:r>
          </w:p>
        </w:tc>
        <w:tc>
          <w:tcPr>
            <w:tcW w:w="2558" w:type="dxa"/>
          </w:tcPr>
          <w:p w14:paraId="2FFEAF29" w14:textId="77777777" w:rsidR="00F2227A" w:rsidRPr="00F2227A" w:rsidRDefault="00F2227A" w:rsidP="00F2227A">
            <w:pPr>
              <w:jc w:val="both"/>
              <w:rPr>
                <w:rFonts w:cs="Arial"/>
                <w:color w:val="000000"/>
                <w:lang w:val="es-ES"/>
              </w:rPr>
            </w:pPr>
          </w:p>
        </w:tc>
        <w:tc>
          <w:tcPr>
            <w:tcW w:w="4172" w:type="dxa"/>
            <w:hideMark/>
          </w:tcPr>
          <w:p w14:paraId="58928FEF" w14:textId="77777777" w:rsidR="00F2227A" w:rsidRPr="00F2227A" w:rsidRDefault="00F2227A" w:rsidP="00F2227A">
            <w:pPr>
              <w:jc w:val="both"/>
              <w:rPr>
                <w:rFonts w:cs="Arial"/>
                <w:color w:val="000000"/>
                <w:lang w:val="es-ES"/>
              </w:rPr>
            </w:pPr>
            <w:r w:rsidRPr="00F2227A">
              <w:rPr>
                <w:rFonts w:cs="Arial"/>
                <w:color w:val="000000"/>
              </w:rPr>
              <w:t>-Cartas autógrafas (CARAUT)</w:t>
            </w:r>
          </w:p>
          <w:p w14:paraId="09A8AE14" w14:textId="77777777" w:rsidR="00F2227A" w:rsidRPr="00F2227A" w:rsidRDefault="00F2227A" w:rsidP="00F2227A">
            <w:pPr>
              <w:jc w:val="both"/>
              <w:rPr>
                <w:rFonts w:cs="Arial"/>
                <w:color w:val="000000"/>
              </w:rPr>
            </w:pPr>
            <w:r w:rsidRPr="00F2227A">
              <w:rPr>
                <w:rFonts w:cs="Arial"/>
                <w:color w:val="000000"/>
              </w:rPr>
              <w:t>-Copiadores (COPI)</w:t>
            </w:r>
          </w:p>
          <w:p w14:paraId="272AD81C" w14:textId="77777777" w:rsidR="00F2227A" w:rsidRPr="00F2227A" w:rsidRDefault="00F2227A" w:rsidP="00F2227A">
            <w:pPr>
              <w:jc w:val="both"/>
              <w:rPr>
                <w:rFonts w:cs="Arial"/>
                <w:color w:val="000000"/>
              </w:rPr>
            </w:pPr>
            <w:r w:rsidRPr="00F2227A">
              <w:rPr>
                <w:rFonts w:cs="Arial"/>
                <w:color w:val="000000"/>
              </w:rPr>
              <w:t>-Correspondencia de Manuel María Peralta (CORMAPE)</w:t>
            </w:r>
          </w:p>
          <w:p w14:paraId="31B16F68" w14:textId="77777777" w:rsidR="00F2227A" w:rsidRPr="00F2227A" w:rsidRDefault="00F2227A" w:rsidP="00F2227A">
            <w:pPr>
              <w:jc w:val="both"/>
              <w:rPr>
                <w:rFonts w:cs="Arial"/>
                <w:color w:val="000000"/>
              </w:rPr>
            </w:pPr>
            <w:r w:rsidRPr="00F2227A">
              <w:rPr>
                <w:rFonts w:cs="Arial"/>
                <w:color w:val="000000"/>
              </w:rPr>
              <w:t>-Expedientes de Límites de Costa Rica con Colombia, Nicaragua y Panamá (EXPLIM)</w:t>
            </w:r>
          </w:p>
          <w:p w14:paraId="7F0BBC53" w14:textId="77777777" w:rsidR="00F2227A" w:rsidRPr="00F2227A" w:rsidRDefault="00F2227A" w:rsidP="00F2227A">
            <w:pPr>
              <w:jc w:val="both"/>
              <w:rPr>
                <w:rFonts w:cs="Arial"/>
                <w:lang w:val="es-ES"/>
              </w:rPr>
            </w:pPr>
            <w:r w:rsidRPr="00F2227A">
              <w:rPr>
                <w:rFonts w:cs="Arial"/>
                <w:color w:val="000000"/>
              </w:rPr>
              <w:t>-Expedientes sobre Sociedad de las Naciones (EXPSOCNA)</w:t>
            </w:r>
          </w:p>
        </w:tc>
      </w:tr>
      <w:tr w:rsidR="00F2227A" w:rsidRPr="00F2227A" w14:paraId="0C7079A4" w14:textId="77777777" w:rsidTr="00F31655">
        <w:trPr>
          <w:trHeight w:val="787"/>
          <w:jc w:val="center"/>
        </w:trPr>
        <w:tc>
          <w:tcPr>
            <w:tcW w:w="2315" w:type="dxa"/>
          </w:tcPr>
          <w:p w14:paraId="6546000C" w14:textId="77777777" w:rsidR="00F2227A" w:rsidRPr="00F2227A" w:rsidRDefault="00F2227A" w:rsidP="00F2227A">
            <w:pPr>
              <w:jc w:val="both"/>
              <w:rPr>
                <w:rFonts w:cs="Arial"/>
                <w:color w:val="000000"/>
                <w:lang w:val="es-ES"/>
              </w:rPr>
            </w:pPr>
          </w:p>
        </w:tc>
        <w:tc>
          <w:tcPr>
            <w:tcW w:w="2558" w:type="dxa"/>
            <w:hideMark/>
          </w:tcPr>
          <w:p w14:paraId="497CAF6A" w14:textId="77777777" w:rsidR="00F2227A" w:rsidRPr="00F2227A" w:rsidRDefault="00F2227A" w:rsidP="00F2227A">
            <w:pPr>
              <w:jc w:val="both"/>
              <w:rPr>
                <w:rFonts w:cs="Arial"/>
                <w:color w:val="000000"/>
                <w:lang w:val="es-ES"/>
              </w:rPr>
            </w:pPr>
            <w:r w:rsidRPr="00F2227A">
              <w:rPr>
                <w:rFonts w:cs="Arial"/>
                <w:color w:val="000000"/>
              </w:rPr>
              <w:t>Departamento de Tratados Internacionales (DEPTRAINT)</w:t>
            </w:r>
          </w:p>
        </w:tc>
        <w:tc>
          <w:tcPr>
            <w:tcW w:w="4172" w:type="dxa"/>
            <w:hideMark/>
          </w:tcPr>
          <w:p w14:paraId="4F6262AD" w14:textId="77777777" w:rsidR="00F2227A" w:rsidRPr="00F2227A" w:rsidRDefault="00F2227A" w:rsidP="00F2227A">
            <w:pPr>
              <w:pStyle w:val="Textoindependiente"/>
              <w:jc w:val="both"/>
              <w:rPr>
                <w:rFonts w:ascii="Arial" w:hAnsi="Arial" w:cs="Arial"/>
                <w:color w:val="000000"/>
                <w:sz w:val="22"/>
                <w:szCs w:val="22"/>
                <w:lang w:eastAsia="es-ES"/>
              </w:rPr>
            </w:pPr>
            <w:r w:rsidRPr="00F2227A">
              <w:rPr>
                <w:rFonts w:ascii="Arial" w:hAnsi="Arial" w:cs="Arial"/>
                <w:color w:val="000000"/>
                <w:sz w:val="22"/>
                <w:szCs w:val="22"/>
              </w:rPr>
              <w:t>-Convenios y Tratados (CONVETRA)</w:t>
            </w:r>
          </w:p>
        </w:tc>
      </w:tr>
      <w:tr w:rsidR="00F2227A" w:rsidRPr="00F2227A" w14:paraId="7D0BBFC9" w14:textId="77777777" w:rsidTr="00F31655">
        <w:trPr>
          <w:trHeight w:val="813"/>
          <w:jc w:val="center"/>
        </w:trPr>
        <w:tc>
          <w:tcPr>
            <w:tcW w:w="2315" w:type="dxa"/>
          </w:tcPr>
          <w:p w14:paraId="51F7468B" w14:textId="77777777" w:rsidR="00F2227A" w:rsidRPr="00F2227A" w:rsidRDefault="00F2227A" w:rsidP="00F2227A">
            <w:pPr>
              <w:jc w:val="both"/>
              <w:rPr>
                <w:rFonts w:cs="Arial"/>
                <w:color w:val="000000"/>
                <w:lang w:val="es-ES"/>
              </w:rPr>
            </w:pPr>
          </w:p>
        </w:tc>
        <w:tc>
          <w:tcPr>
            <w:tcW w:w="2558" w:type="dxa"/>
            <w:hideMark/>
          </w:tcPr>
          <w:p w14:paraId="165A24A8" w14:textId="77777777" w:rsidR="00F2227A" w:rsidRPr="00F2227A" w:rsidRDefault="00F2227A" w:rsidP="00F2227A">
            <w:pPr>
              <w:jc w:val="both"/>
              <w:rPr>
                <w:rFonts w:cs="Arial"/>
                <w:color w:val="000000"/>
                <w:lang w:val="es-ES"/>
              </w:rPr>
            </w:pPr>
            <w:r w:rsidRPr="00F2227A">
              <w:rPr>
                <w:rFonts w:cs="Arial"/>
                <w:color w:val="000000"/>
              </w:rPr>
              <w:t>Departamento Diplomático (DEPDIP)</w:t>
            </w:r>
          </w:p>
        </w:tc>
        <w:tc>
          <w:tcPr>
            <w:tcW w:w="4172" w:type="dxa"/>
            <w:hideMark/>
          </w:tcPr>
          <w:p w14:paraId="1B3CF290" w14:textId="77777777" w:rsidR="00F2227A" w:rsidRPr="00F2227A" w:rsidRDefault="00F2227A" w:rsidP="00F2227A">
            <w:pPr>
              <w:jc w:val="both"/>
              <w:rPr>
                <w:rFonts w:cs="Arial"/>
                <w:color w:val="000000"/>
                <w:lang w:val="es-ES"/>
              </w:rPr>
            </w:pPr>
            <w:r w:rsidRPr="00F2227A">
              <w:rPr>
                <w:rFonts w:cs="Arial"/>
                <w:color w:val="000000"/>
              </w:rPr>
              <w:t>-Expedientes de legaciones y consulados</w:t>
            </w:r>
          </w:p>
          <w:p w14:paraId="0C323444" w14:textId="77777777" w:rsidR="00F2227A" w:rsidRPr="00F2227A" w:rsidRDefault="00F2227A" w:rsidP="00F2227A">
            <w:pPr>
              <w:jc w:val="both"/>
              <w:rPr>
                <w:rFonts w:cs="Arial"/>
                <w:color w:val="000000"/>
                <w:lang w:val="es-ES"/>
              </w:rPr>
            </w:pPr>
            <w:r w:rsidRPr="00F2227A">
              <w:rPr>
                <w:rFonts w:cs="Arial"/>
                <w:color w:val="000000"/>
              </w:rPr>
              <w:t>(CAJAS RREE) (EXPLYC)</w:t>
            </w:r>
          </w:p>
        </w:tc>
      </w:tr>
    </w:tbl>
    <w:p w14:paraId="46C96CDE" w14:textId="77777777" w:rsidR="00F2227A" w:rsidRPr="00F2227A" w:rsidRDefault="00F2227A" w:rsidP="00F2227A">
      <w:pPr>
        <w:jc w:val="both"/>
        <w:rPr>
          <w:rFonts w:cs="Arial"/>
          <w:b/>
          <w:bCs/>
          <w:lang w:val="es-ES"/>
        </w:rPr>
      </w:pPr>
    </w:p>
    <w:p w14:paraId="38625B63" w14:textId="77777777" w:rsidR="00F2227A" w:rsidRPr="00F2227A" w:rsidRDefault="00F2227A" w:rsidP="00F2227A">
      <w:pPr>
        <w:jc w:val="both"/>
        <w:rPr>
          <w:rFonts w:cs="Arial"/>
          <w:b/>
          <w:bCs/>
        </w:rPr>
      </w:pPr>
    </w:p>
    <w:p w14:paraId="3058BD88" w14:textId="77777777" w:rsidR="00F2227A" w:rsidRPr="00F2227A" w:rsidRDefault="00F2227A" w:rsidP="00F2227A">
      <w:pPr>
        <w:numPr>
          <w:ilvl w:val="0"/>
          <w:numId w:val="18"/>
        </w:numPr>
        <w:jc w:val="both"/>
        <w:rPr>
          <w:rFonts w:cs="Arial"/>
          <w:b/>
          <w:bCs/>
        </w:rPr>
      </w:pPr>
      <w:r w:rsidRPr="00F2227A">
        <w:rPr>
          <w:rFonts w:cs="Arial"/>
          <w:b/>
          <w:bCs/>
        </w:rPr>
        <w:t>ÁREA DE CONDICIONES DE ACCESO Y UTILIZACIÓN</w:t>
      </w:r>
    </w:p>
    <w:p w14:paraId="576BD8B5" w14:textId="77777777" w:rsidR="00F2227A" w:rsidRPr="00F2227A" w:rsidRDefault="00F2227A" w:rsidP="00F2227A">
      <w:pPr>
        <w:jc w:val="both"/>
        <w:rPr>
          <w:rFonts w:cs="Arial"/>
        </w:rPr>
      </w:pPr>
    </w:p>
    <w:p w14:paraId="5F656A79" w14:textId="77777777" w:rsidR="00F2227A" w:rsidRPr="00F2227A" w:rsidRDefault="00F2227A" w:rsidP="00F2227A">
      <w:pPr>
        <w:numPr>
          <w:ilvl w:val="1"/>
          <w:numId w:val="18"/>
        </w:numPr>
        <w:jc w:val="both"/>
        <w:rPr>
          <w:rFonts w:cs="Arial"/>
          <w:b/>
          <w:bCs/>
        </w:rPr>
      </w:pPr>
      <w:r w:rsidRPr="00F2227A">
        <w:rPr>
          <w:rFonts w:cs="Arial"/>
          <w:b/>
          <w:bCs/>
        </w:rPr>
        <w:t xml:space="preserve">CONDICIONES DE ACCESO: </w:t>
      </w:r>
      <w:r w:rsidRPr="00F2227A">
        <w:rPr>
          <w:rFonts w:cs="Arial"/>
          <w:color w:val="000000"/>
        </w:rPr>
        <w:t xml:space="preserve">Libre. </w:t>
      </w:r>
    </w:p>
    <w:p w14:paraId="50B2922D" w14:textId="77777777" w:rsidR="00F2227A" w:rsidRPr="00F2227A" w:rsidRDefault="00F2227A" w:rsidP="00F2227A">
      <w:pPr>
        <w:jc w:val="both"/>
        <w:rPr>
          <w:rFonts w:cs="Arial"/>
        </w:rPr>
      </w:pPr>
    </w:p>
    <w:p w14:paraId="6D9EA99A" w14:textId="77777777" w:rsidR="00F2227A" w:rsidRPr="00F2227A" w:rsidRDefault="00F2227A" w:rsidP="00F2227A">
      <w:pPr>
        <w:numPr>
          <w:ilvl w:val="1"/>
          <w:numId w:val="18"/>
        </w:numPr>
        <w:jc w:val="both"/>
        <w:rPr>
          <w:rFonts w:cs="Arial"/>
        </w:rPr>
      </w:pPr>
      <w:r w:rsidRPr="00F2227A">
        <w:rPr>
          <w:rFonts w:cs="Arial"/>
          <w:b/>
          <w:bCs/>
        </w:rPr>
        <w:t xml:space="preserve">CONDICIONES DE REPRODUCCIÓN: </w:t>
      </w:r>
      <w:r w:rsidRPr="00F2227A">
        <w:rPr>
          <w:rFonts w:cs="Arial"/>
        </w:rPr>
        <w:t xml:space="preserve">Mediante </w:t>
      </w:r>
      <w:r w:rsidRPr="00F2227A">
        <w:rPr>
          <w:rFonts w:cs="Arial"/>
          <w:bCs/>
        </w:rPr>
        <w:t>fotocopia o fotografía</w:t>
      </w:r>
      <w:r w:rsidRPr="00F2227A">
        <w:rPr>
          <w:rFonts w:cs="Arial"/>
        </w:rPr>
        <w:t xml:space="preserve">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7ADD704E" w14:textId="77777777" w:rsidR="00F2227A" w:rsidRPr="00F2227A" w:rsidRDefault="00F2227A" w:rsidP="00F2227A">
      <w:pPr>
        <w:jc w:val="both"/>
        <w:rPr>
          <w:rFonts w:cs="Arial"/>
        </w:rPr>
      </w:pPr>
    </w:p>
    <w:p w14:paraId="1C2A47D0" w14:textId="77777777" w:rsidR="00F2227A" w:rsidRPr="00F2227A" w:rsidRDefault="00F2227A" w:rsidP="00F2227A">
      <w:pPr>
        <w:numPr>
          <w:ilvl w:val="1"/>
          <w:numId w:val="18"/>
        </w:numPr>
        <w:jc w:val="both"/>
        <w:rPr>
          <w:rFonts w:cs="Arial"/>
        </w:rPr>
      </w:pPr>
      <w:r w:rsidRPr="00F2227A">
        <w:rPr>
          <w:rFonts w:cs="Arial"/>
          <w:b/>
          <w:bCs/>
        </w:rPr>
        <w:t xml:space="preserve">LENGUA / ESCRITURA (S) DE LOS DOCUMENTOS: </w:t>
      </w:r>
      <w:r w:rsidRPr="00F2227A">
        <w:rPr>
          <w:rFonts w:cs="Arial"/>
          <w:color w:val="000000"/>
        </w:rPr>
        <w:t xml:space="preserve">Español, inglés, francés, mandarín, alemán, </w:t>
      </w:r>
      <w:r w:rsidRPr="00F2227A">
        <w:rPr>
          <w:rFonts w:cs="Arial"/>
        </w:rPr>
        <w:t>portugués, italiano y japonés</w:t>
      </w:r>
    </w:p>
    <w:p w14:paraId="1D11CA8F" w14:textId="77777777" w:rsidR="00F2227A" w:rsidRPr="00F2227A" w:rsidRDefault="00F2227A" w:rsidP="00F2227A">
      <w:pPr>
        <w:jc w:val="both"/>
        <w:rPr>
          <w:rFonts w:cs="Arial"/>
        </w:rPr>
      </w:pPr>
    </w:p>
    <w:p w14:paraId="4E949B2D" w14:textId="77777777" w:rsidR="00F2227A" w:rsidRPr="00F2227A" w:rsidRDefault="00F2227A" w:rsidP="00F2227A">
      <w:pPr>
        <w:numPr>
          <w:ilvl w:val="1"/>
          <w:numId w:val="18"/>
        </w:numPr>
        <w:jc w:val="both"/>
        <w:rPr>
          <w:rFonts w:cs="Arial"/>
        </w:rPr>
      </w:pPr>
      <w:r w:rsidRPr="00F2227A">
        <w:rPr>
          <w:rFonts w:cs="Arial"/>
          <w:b/>
          <w:bCs/>
        </w:rPr>
        <w:t xml:space="preserve">CARACTERÍSTICAS FÍSICAS Y REQUISITOS TÉCNICOS: </w:t>
      </w:r>
      <w:r w:rsidRPr="00F2227A">
        <w:rPr>
          <w:rFonts w:cs="Arial"/>
        </w:rPr>
        <w:t>Buen estado de conservación. Documentos restaurados por el Departamento de Conservación.</w:t>
      </w:r>
    </w:p>
    <w:p w14:paraId="3611F546" w14:textId="77777777" w:rsidR="00F2227A" w:rsidRPr="00F2227A" w:rsidRDefault="00F2227A" w:rsidP="00F2227A">
      <w:pPr>
        <w:jc w:val="both"/>
        <w:rPr>
          <w:rFonts w:cs="Arial"/>
        </w:rPr>
      </w:pPr>
    </w:p>
    <w:p w14:paraId="69FB55CB" w14:textId="77777777" w:rsidR="00F2227A" w:rsidRPr="00F2227A" w:rsidRDefault="00F2227A" w:rsidP="00F2227A">
      <w:pPr>
        <w:numPr>
          <w:ilvl w:val="1"/>
          <w:numId w:val="18"/>
        </w:numPr>
        <w:jc w:val="both"/>
        <w:rPr>
          <w:rFonts w:cs="Arial"/>
          <w:b/>
          <w:bCs/>
        </w:rPr>
      </w:pPr>
      <w:r w:rsidRPr="00F2227A">
        <w:rPr>
          <w:rFonts w:cs="Arial"/>
          <w:b/>
          <w:bCs/>
        </w:rPr>
        <w:t>INSTRUMENTOS DE DESCRIPCIÓN:</w:t>
      </w:r>
      <w:r w:rsidRPr="00F2227A">
        <w:rPr>
          <w:rFonts w:cs="Arial"/>
          <w:color w:val="000000"/>
        </w:rPr>
        <w:t xml:space="preserve"> </w:t>
      </w:r>
    </w:p>
    <w:p w14:paraId="6A174501" w14:textId="77777777" w:rsidR="00F2227A" w:rsidRPr="00F2227A" w:rsidRDefault="00F2227A" w:rsidP="00F2227A">
      <w:pPr>
        <w:numPr>
          <w:ilvl w:val="0"/>
          <w:numId w:val="29"/>
        </w:numPr>
        <w:jc w:val="both"/>
        <w:rPr>
          <w:rFonts w:cs="Arial"/>
          <w:color w:val="000000"/>
          <w:lang w:val="es-ES"/>
        </w:rPr>
      </w:pPr>
      <w:r w:rsidRPr="00F2227A">
        <w:rPr>
          <w:rFonts w:cs="Arial"/>
          <w:color w:val="000000"/>
        </w:rPr>
        <w:t>Inventarios manuales</w:t>
      </w:r>
    </w:p>
    <w:p w14:paraId="19BF25A9" w14:textId="77777777" w:rsidR="00F2227A" w:rsidRPr="00F2227A" w:rsidRDefault="00F2227A" w:rsidP="00F2227A">
      <w:pPr>
        <w:numPr>
          <w:ilvl w:val="0"/>
          <w:numId w:val="29"/>
        </w:numPr>
        <w:jc w:val="both"/>
        <w:rPr>
          <w:rFonts w:cs="Arial"/>
          <w:color w:val="000000"/>
        </w:rPr>
      </w:pPr>
      <w:r w:rsidRPr="00F2227A">
        <w:rPr>
          <w:rFonts w:cs="Arial"/>
          <w:color w:val="000000"/>
        </w:rPr>
        <w:t>Catálogos de fichas (existen 3 ficheros cronológicos, 5 ficheros alfabéticos y 4 ficheros por temas)</w:t>
      </w:r>
    </w:p>
    <w:p w14:paraId="55148641" w14:textId="77777777" w:rsidR="00F2227A" w:rsidRPr="00F2227A" w:rsidRDefault="00F2227A" w:rsidP="00F2227A">
      <w:pPr>
        <w:numPr>
          <w:ilvl w:val="0"/>
          <w:numId w:val="29"/>
        </w:numPr>
        <w:jc w:val="both"/>
        <w:rPr>
          <w:rFonts w:cs="Arial"/>
          <w:b/>
          <w:bCs/>
        </w:rPr>
      </w:pPr>
      <w:r w:rsidRPr="00F2227A">
        <w:rPr>
          <w:rFonts w:cs="Arial"/>
          <w:color w:val="000000"/>
        </w:rPr>
        <w:t>Base de datos</w:t>
      </w:r>
    </w:p>
    <w:p w14:paraId="0F6F5EDB" w14:textId="77777777" w:rsidR="00F2227A" w:rsidRPr="00F2227A" w:rsidRDefault="00F2227A" w:rsidP="00F2227A">
      <w:pPr>
        <w:jc w:val="both"/>
        <w:rPr>
          <w:rFonts w:cs="Arial"/>
          <w:b/>
          <w:bCs/>
        </w:rPr>
      </w:pPr>
    </w:p>
    <w:p w14:paraId="3E96B8F9" w14:textId="77777777" w:rsidR="00F2227A" w:rsidRPr="00F2227A" w:rsidRDefault="00F2227A" w:rsidP="00F2227A">
      <w:pPr>
        <w:ind w:left="360"/>
        <w:jc w:val="both"/>
        <w:rPr>
          <w:rFonts w:cs="Arial"/>
          <w:b/>
          <w:bCs/>
        </w:rPr>
      </w:pPr>
    </w:p>
    <w:p w14:paraId="3742F1E3" w14:textId="77777777" w:rsidR="00F2227A" w:rsidRPr="00F2227A" w:rsidRDefault="00F2227A" w:rsidP="00F2227A">
      <w:pPr>
        <w:numPr>
          <w:ilvl w:val="0"/>
          <w:numId w:val="18"/>
        </w:numPr>
        <w:jc w:val="both"/>
        <w:rPr>
          <w:rFonts w:cs="Arial"/>
          <w:b/>
          <w:bCs/>
        </w:rPr>
      </w:pPr>
      <w:r w:rsidRPr="00F2227A">
        <w:rPr>
          <w:rFonts w:cs="Arial"/>
          <w:b/>
          <w:bCs/>
        </w:rPr>
        <w:t>ÁREA DE DOCUMENTACIÓN ASOCIADA</w:t>
      </w:r>
    </w:p>
    <w:p w14:paraId="1E466B9B" w14:textId="77777777" w:rsidR="00F2227A" w:rsidRPr="00F2227A" w:rsidRDefault="00F2227A" w:rsidP="00F2227A">
      <w:pPr>
        <w:jc w:val="both"/>
        <w:rPr>
          <w:rFonts w:cs="Arial"/>
        </w:rPr>
      </w:pPr>
    </w:p>
    <w:p w14:paraId="0E9AE07E" w14:textId="77777777" w:rsidR="00F2227A" w:rsidRPr="00F2227A" w:rsidRDefault="00F2227A" w:rsidP="00F2227A">
      <w:pPr>
        <w:numPr>
          <w:ilvl w:val="1"/>
          <w:numId w:val="30"/>
        </w:numPr>
        <w:jc w:val="both"/>
        <w:rPr>
          <w:rFonts w:cs="Arial"/>
          <w:bCs/>
        </w:rPr>
      </w:pPr>
      <w:r w:rsidRPr="00F2227A">
        <w:rPr>
          <w:rFonts w:cs="Arial"/>
          <w:b/>
          <w:bCs/>
        </w:rPr>
        <w:t xml:space="preserve">UNIDADES DE DESCRIPCIÓN RELACIONADAS: </w:t>
      </w:r>
      <w:r w:rsidRPr="00F2227A">
        <w:rPr>
          <w:rFonts w:cs="Arial"/>
          <w:bCs/>
        </w:rPr>
        <w:t>Se puede encontrar documentos complementarios en los siguientes fondos:</w:t>
      </w:r>
    </w:p>
    <w:p w14:paraId="66A30AAD" w14:textId="77777777" w:rsidR="00F2227A" w:rsidRPr="00F2227A" w:rsidRDefault="00F2227A" w:rsidP="00F2227A">
      <w:pPr>
        <w:pStyle w:val="Prrafodelista"/>
        <w:jc w:val="both"/>
        <w:rPr>
          <w:rFonts w:ascii="Arial" w:hAnsi="Arial" w:cs="Arial"/>
          <w:color w:val="000000"/>
          <w:sz w:val="22"/>
          <w:szCs w:val="22"/>
        </w:rPr>
      </w:pPr>
    </w:p>
    <w:p w14:paraId="17DD84F0" w14:textId="77777777" w:rsidR="00F2227A" w:rsidRPr="00F2227A" w:rsidRDefault="00F2227A" w:rsidP="00F2227A">
      <w:pPr>
        <w:numPr>
          <w:ilvl w:val="0"/>
          <w:numId w:val="31"/>
        </w:numPr>
        <w:jc w:val="both"/>
        <w:rPr>
          <w:rFonts w:cs="Arial"/>
          <w:bCs/>
        </w:rPr>
      </w:pPr>
      <w:r w:rsidRPr="00F2227A">
        <w:rPr>
          <w:rFonts w:cs="Arial"/>
          <w:bCs/>
        </w:rPr>
        <w:t>Actas del Consejo de Gobierno</w:t>
      </w:r>
    </w:p>
    <w:p w14:paraId="2841A8DB" w14:textId="77777777" w:rsidR="00F2227A" w:rsidRPr="00F2227A" w:rsidRDefault="00F2227A" w:rsidP="00F2227A">
      <w:pPr>
        <w:numPr>
          <w:ilvl w:val="0"/>
          <w:numId w:val="31"/>
        </w:numPr>
        <w:jc w:val="both"/>
        <w:rPr>
          <w:rFonts w:cs="Arial"/>
          <w:color w:val="000000"/>
          <w:lang w:val="es-ES"/>
        </w:rPr>
      </w:pPr>
      <w:r w:rsidRPr="00F2227A">
        <w:rPr>
          <w:rFonts w:cs="Arial"/>
          <w:color w:val="000000"/>
        </w:rPr>
        <w:lastRenderedPageBreak/>
        <w:t>Asamblea Legislativa</w:t>
      </w:r>
    </w:p>
    <w:p w14:paraId="79F79FD7" w14:textId="77777777" w:rsidR="00F2227A" w:rsidRPr="00F2227A" w:rsidRDefault="00F2227A" w:rsidP="00F2227A">
      <w:pPr>
        <w:numPr>
          <w:ilvl w:val="0"/>
          <w:numId w:val="31"/>
        </w:numPr>
        <w:jc w:val="both"/>
        <w:rPr>
          <w:rFonts w:cs="Arial"/>
          <w:color w:val="000000"/>
        </w:rPr>
      </w:pPr>
      <w:r w:rsidRPr="00F2227A">
        <w:rPr>
          <w:rFonts w:cs="Arial"/>
          <w:color w:val="000000"/>
        </w:rPr>
        <w:t>Congreso</w:t>
      </w:r>
    </w:p>
    <w:p w14:paraId="2BBBE37B" w14:textId="77777777" w:rsidR="00F2227A" w:rsidRPr="00F2227A" w:rsidRDefault="00F2227A" w:rsidP="00F2227A">
      <w:pPr>
        <w:numPr>
          <w:ilvl w:val="0"/>
          <w:numId w:val="31"/>
        </w:numPr>
        <w:jc w:val="both"/>
        <w:rPr>
          <w:rFonts w:cs="Arial"/>
          <w:color w:val="000000"/>
        </w:rPr>
      </w:pPr>
      <w:r w:rsidRPr="00F2227A">
        <w:rPr>
          <w:rFonts w:cs="Arial"/>
          <w:color w:val="000000"/>
        </w:rPr>
        <w:t>Corte de Justicia Centroamericana</w:t>
      </w:r>
    </w:p>
    <w:p w14:paraId="6212C092" w14:textId="77777777" w:rsidR="00F2227A" w:rsidRPr="00F2227A" w:rsidRDefault="00F2227A" w:rsidP="00F2227A">
      <w:pPr>
        <w:numPr>
          <w:ilvl w:val="0"/>
          <w:numId w:val="31"/>
        </w:numPr>
        <w:jc w:val="both"/>
        <w:rPr>
          <w:rFonts w:cs="Arial"/>
          <w:color w:val="000000"/>
        </w:rPr>
      </w:pPr>
      <w:r w:rsidRPr="00F2227A">
        <w:rPr>
          <w:rFonts w:cs="Arial"/>
          <w:color w:val="000000"/>
        </w:rPr>
        <w:t>Cortes Suprema de Justicia</w:t>
      </w:r>
    </w:p>
    <w:p w14:paraId="0472878C" w14:textId="77777777" w:rsidR="00F2227A" w:rsidRPr="00F2227A" w:rsidRDefault="00F2227A" w:rsidP="00F2227A">
      <w:pPr>
        <w:numPr>
          <w:ilvl w:val="0"/>
          <w:numId w:val="31"/>
        </w:numPr>
        <w:jc w:val="both"/>
        <w:rPr>
          <w:rFonts w:cs="Arial"/>
          <w:color w:val="000000"/>
        </w:rPr>
      </w:pPr>
      <w:r w:rsidRPr="00F2227A">
        <w:rPr>
          <w:rFonts w:cs="Arial"/>
          <w:color w:val="000000"/>
        </w:rPr>
        <w:t>Federal</w:t>
      </w:r>
    </w:p>
    <w:p w14:paraId="38C6A58E" w14:textId="77777777" w:rsidR="00F2227A" w:rsidRPr="00F2227A" w:rsidRDefault="00F2227A" w:rsidP="00F2227A">
      <w:pPr>
        <w:numPr>
          <w:ilvl w:val="0"/>
          <w:numId w:val="31"/>
        </w:numPr>
        <w:jc w:val="both"/>
        <w:rPr>
          <w:rFonts w:cs="Arial"/>
          <w:bCs/>
        </w:rPr>
      </w:pPr>
      <w:r w:rsidRPr="00F2227A">
        <w:rPr>
          <w:rFonts w:cs="Arial"/>
          <w:bCs/>
        </w:rPr>
        <w:t>Instituto Nacional de Aprendizaje</w:t>
      </w:r>
    </w:p>
    <w:p w14:paraId="37CA0C0F" w14:textId="77777777" w:rsidR="00F2227A" w:rsidRPr="00F2227A" w:rsidRDefault="00F2227A" w:rsidP="00F2227A">
      <w:pPr>
        <w:numPr>
          <w:ilvl w:val="0"/>
          <w:numId w:val="31"/>
        </w:numPr>
        <w:jc w:val="both"/>
        <w:rPr>
          <w:rFonts w:cs="Arial"/>
          <w:bCs/>
        </w:rPr>
      </w:pPr>
      <w:r w:rsidRPr="00F2227A">
        <w:rPr>
          <w:rFonts w:cs="Arial"/>
          <w:color w:val="000000"/>
        </w:rPr>
        <w:t>José Fidel</w:t>
      </w:r>
      <w:r w:rsidRPr="00F2227A">
        <w:rPr>
          <w:rFonts w:cs="Arial"/>
          <w:bCs/>
        </w:rPr>
        <w:t xml:space="preserve"> </w:t>
      </w:r>
      <w:r w:rsidRPr="00F2227A">
        <w:rPr>
          <w:rFonts w:cs="Arial"/>
          <w:color w:val="000000"/>
        </w:rPr>
        <w:t xml:space="preserve">Tristán Fernández </w:t>
      </w:r>
    </w:p>
    <w:p w14:paraId="5D3D5C43" w14:textId="77777777" w:rsidR="00F2227A" w:rsidRPr="00F2227A" w:rsidRDefault="00F2227A" w:rsidP="00F2227A">
      <w:pPr>
        <w:numPr>
          <w:ilvl w:val="0"/>
          <w:numId w:val="31"/>
        </w:numPr>
        <w:jc w:val="both"/>
        <w:rPr>
          <w:rFonts w:cs="Arial"/>
          <w:bCs/>
        </w:rPr>
      </w:pPr>
      <w:r w:rsidRPr="00F2227A">
        <w:rPr>
          <w:rFonts w:cs="Arial"/>
          <w:bCs/>
        </w:rPr>
        <w:t>Manuel Mora Valverde</w:t>
      </w:r>
    </w:p>
    <w:p w14:paraId="160954C1" w14:textId="77777777" w:rsidR="00F2227A" w:rsidRPr="00F2227A" w:rsidRDefault="00F2227A" w:rsidP="00F2227A">
      <w:pPr>
        <w:numPr>
          <w:ilvl w:val="0"/>
          <w:numId w:val="31"/>
        </w:numPr>
        <w:jc w:val="both"/>
        <w:rPr>
          <w:rFonts w:cs="Arial"/>
          <w:bCs/>
        </w:rPr>
      </w:pPr>
      <w:r w:rsidRPr="00F2227A">
        <w:rPr>
          <w:rFonts w:cs="Arial"/>
          <w:bCs/>
        </w:rPr>
        <w:t>Minera Nacional S. A.</w:t>
      </w:r>
    </w:p>
    <w:p w14:paraId="7F051E7E" w14:textId="77777777" w:rsidR="00F2227A" w:rsidRPr="00F2227A" w:rsidRDefault="00F2227A" w:rsidP="00F2227A">
      <w:pPr>
        <w:numPr>
          <w:ilvl w:val="0"/>
          <w:numId w:val="31"/>
        </w:numPr>
        <w:jc w:val="both"/>
        <w:rPr>
          <w:rFonts w:cs="Arial"/>
          <w:bCs/>
        </w:rPr>
      </w:pPr>
      <w:r w:rsidRPr="00F2227A">
        <w:rPr>
          <w:rFonts w:cs="Arial"/>
          <w:bCs/>
        </w:rPr>
        <w:t>Ministerio de Agricultura</w:t>
      </w:r>
    </w:p>
    <w:p w14:paraId="026FB253" w14:textId="77777777" w:rsidR="00F2227A" w:rsidRPr="00F2227A" w:rsidRDefault="00F2227A" w:rsidP="00F2227A">
      <w:pPr>
        <w:numPr>
          <w:ilvl w:val="0"/>
          <w:numId w:val="31"/>
        </w:numPr>
        <w:jc w:val="both"/>
        <w:rPr>
          <w:rFonts w:cs="Arial"/>
          <w:bCs/>
        </w:rPr>
      </w:pPr>
      <w:r w:rsidRPr="00F2227A">
        <w:rPr>
          <w:rFonts w:cs="Arial"/>
          <w:bCs/>
        </w:rPr>
        <w:t>Ministerio de Cultura, Juventud y Deporte</w:t>
      </w:r>
    </w:p>
    <w:p w14:paraId="1218D905" w14:textId="77777777" w:rsidR="00F2227A" w:rsidRPr="00F2227A" w:rsidRDefault="00F2227A" w:rsidP="00F2227A">
      <w:pPr>
        <w:numPr>
          <w:ilvl w:val="0"/>
          <w:numId w:val="31"/>
        </w:numPr>
        <w:jc w:val="both"/>
        <w:rPr>
          <w:rFonts w:cs="Arial"/>
          <w:bCs/>
        </w:rPr>
      </w:pPr>
      <w:r w:rsidRPr="00F2227A">
        <w:rPr>
          <w:rFonts w:cs="Arial"/>
          <w:bCs/>
        </w:rPr>
        <w:t>Ministerio de Economía, Industria y Comercio</w:t>
      </w:r>
    </w:p>
    <w:p w14:paraId="5E4A5781" w14:textId="77777777" w:rsidR="00F2227A" w:rsidRPr="00F2227A" w:rsidRDefault="00F2227A" w:rsidP="00F2227A">
      <w:pPr>
        <w:numPr>
          <w:ilvl w:val="0"/>
          <w:numId w:val="31"/>
        </w:numPr>
        <w:jc w:val="both"/>
        <w:rPr>
          <w:rFonts w:cs="Arial"/>
          <w:bCs/>
        </w:rPr>
      </w:pPr>
      <w:r w:rsidRPr="00F2227A">
        <w:rPr>
          <w:rFonts w:cs="Arial"/>
          <w:bCs/>
        </w:rPr>
        <w:t>Ministerio de Educación Pública</w:t>
      </w:r>
    </w:p>
    <w:p w14:paraId="650BD3AA" w14:textId="77777777" w:rsidR="00F2227A" w:rsidRPr="00F2227A" w:rsidRDefault="00F2227A" w:rsidP="00F2227A">
      <w:pPr>
        <w:numPr>
          <w:ilvl w:val="0"/>
          <w:numId w:val="31"/>
        </w:numPr>
        <w:jc w:val="both"/>
        <w:rPr>
          <w:rFonts w:cs="Arial"/>
          <w:bCs/>
        </w:rPr>
      </w:pPr>
      <w:r w:rsidRPr="00F2227A">
        <w:rPr>
          <w:rFonts w:cs="Arial"/>
          <w:bCs/>
        </w:rPr>
        <w:t>Ministerio de Gobernación</w:t>
      </w:r>
    </w:p>
    <w:p w14:paraId="11C41EDE" w14:textId="77777777" w:rsidR="00F2227A" w:rsidRPr="00F2227A" w:rsidRDefault="00F2227A" w:rsidP="00F2227A">
      <w:pPr>
        <w:numPr>
          <w:ilvl w:val="0"/>
          <w:numId w:val="31"/>
        </w:numPr>
        <w:jc w:val="both"/>
        <w:rPr>
          <w:rFonts w:cs="Arial"/>
          <w:bCs/>
        </w:rPr>
      </w:pPr>
      <w:r w:rsidRPr="00F2227A">
        <w:rPr>
          <w:rFonts w:cs="Arial"/>
          <w:bCs/>
        </w:rPr>
        <w:t>Ministerio de Hacienda</w:t>
      </w:r>
    </w:p>
    <w:p w14:paraId="2BE0D2A9" w14:textId="77777777" w:rsidR="00F2227A" w:rsidRPr="00F2227A" w:rsidRDefault="00F2227A" w:rsidP="00F2227A">
      <w:pPr>
        <w:numPr>
          <w:ilvl w:val="0"/>
          <w:numId w:val="31"/>
        </w:numPr>
        <w:jc w:val="both"/>
        <w:rPr>
          <w:rFonts w:cs="Arial"/>
          <w:bCs/>
        </w:rPr>
      </w:pPr>
      <w:r w:rsidRPr="00F2227A">
        <w:rPr>
          <w:rFonts w:cs="Arial"/>
          <w:bCs/>
        </w:rPr>
        <w:t>Ministerio de Justicia y Gracia</w:t>
      </w:r>
    </w:p>
    <w:p w14:paraId="6AFE7715" w14:textId="77777777" w:rsidR="00F2227A" w:rsidRPr="00F2227A" w:rsidRDefault="00F2227A" w:rsidP="00F2227A">
      <w:pPr>
        <w:numPr>
          <w:ilvl w:val="0"/>
          <w:numId w:val="31"/>
        </w:numPr>
        <w:jc w:val="both"/>
        <w:rPr>
          <w:rFonts w:cs="Arial"/>
          <w:bCs/>
        </w:rPr>
      </w:pPr>
      <w:r w:rsidRPr="00F2227A">
        <w:rPr>
          <w:rFonts w:cs="Arial"/>
          <w:bCs/>
        </w:rPr>
        <w:t>Ministerio de Obras Públicas y Transportes</w:t>
      </w:r>
    </w:p>
    <w:p w14:paraId="3F2B4ABA" w14:textId="77777777" w:rsidR="00F2227A" w:rsidRPr="00F2227A" w:rsidRDefault="00F2227A" w:rsidP="00F2227A">
      <w:pPr>
        <w:numPr>
          <w:ilvl w:val="0"/>
          <w:numId w:val="31"/>
        </w:numPr>
        <w:jc w:val="both"/>
        <w:rPr>
          <w:rFonts w:cs="Arial"/>
          <w:bCs/>
        </w:rPr>
      </w:pPr>
      <w:r w:rsidRPr="00F2227A">
        <w:rPr>
          <w:rFonts w:cs="Arial"/>
          <w:bCs/>
        </w:rPr>
        <w:t>Ministerio de Seguridad Pública</w:t>
      </w:r>
    </w:p>
    <w:p w14:paraId="7ADEA333" w14:textId="77777777" w:rsidR="00F2227A" w:rsidRPr="00F2227A" w:rsidRDefault="00F2227A" w:rsidP="00F2227A">
      <w:pPr>
        <w:numPr>
          <w:ilvl w:val="0"/>
          <w:numId w:val="31"/>
        </w:numPr>
        <w:jc w:val="both"/>
        <w:rPr>
          <w:rFonts w:cs="Arial"/>
          <w:bCs/>
        </w:rPr>
      </w:pPr>
      <w:r w:rsidRPr="00F2227A">
        <w:rPr>
          <w:rFonts w:cs="Arial"/>
          <w:bCs/>
        </w:rPr>
        <w:t>Ministerio de Trabajo y Seguridad Social</w:t>
      </w:r>
    </w:p>
    <w:p w14:paraId="4A27CF5E" w14:textId="77777777" w:rsidR="00F2227A" w:rsidRPr="00F2227A" w:rsidRDefault="00F2227A" w:rsidP="00F2227A">
      <w:pPr>
        <w:numPr>
          <w:ilvl w:val="0"/>
          <w:numId w:val="31"/>
        </w:numPr>
        <w:jc w:val="both"/>
        <w:rPr>
          <w:rFonts w:cs="Arial"/>
          <w:color w:val="000000"/>
          <w:lang w:val="es-ES"/>
        </w:rPr>
      </w:pPr>
      <w:r w:rsidRPr="00F2227A">
        <w:rPr>
          <w:rFonts w:cs="Arial"/>
          <w:color w:val="000000"/>
        </w:rPr>
        <w:t>Municipal</w:t>
      </w:r>
    </w:p>
    <w:p w14:paraId="744B1C17" w14:textId="77777777" w:rsidR="00F2227A" w:rsidRPr="00F2227A" w:rsidRDefault="00F2227A" w:rsidP="00F2227A">
      <w:pPr>
        <w:numPr>
          <w:ilvl w:val="0"/>
          <w:numId w:val="31"/>
        </w:numPr>
        <w:jc w:val="both"/>
        <w:rPr>
          <w:rFonts w:cs="Arial"/>
          <w:color w:val="000000"/>
        </w:rPr>
      </w:pPr>
      <w:r w:rsidRPr="00F2227A">
        <w:rPr>
          <w:rFonts w:cs="Arial"/>
          <w:color w:val="000000"/>
        </w:rPr>
        <w:t>Presidencia</w:t>
      </w:r>
    </w:p>
    <w:p w14:paraId="0081A17C" w14:textId="77777777" w:rsidR="00F2227A" w:rsidRPr="00F2227A" w:rsidRDefault="00F2227A" w:rsidP="00F2227A">
      <w:pPr>
        <w:numPr>
          <w:ilvl w:val="0"/>
          <w:numId w:val="31"/>
        </w:numPr>
        <w:jc w:val="both"/>
        <w:rPr>
          <w:rFonts w:cs="Arial"/>
          <w:bCs/>
        </w:rPr>
      </w:pPr>
      <w:r w:rsidRPr="00F2227A">
        <w:rPr>
          <w:rFonts w:cs="Arial"/>
          <w:bCs/>
        </w:rPr>
        <w:t>Secretaria de Culto</w:t>
      </w:r>
    </w:p>
    <w:p w14:paraId="081CC0BB" w14:textId="77777777" w:rsidR="00F2227A" w:rsidRPr="00F2227A" w:rsidRDefault="00F2227A" w:rsidP="00F2227A">
      <w:pPr>
        <w:numPr>
          <w:ilvl w:val="0"/>
          <w:numId w:val="31"/>
        </w:numPr>
        <w:jc w:val="both"/>
        <w:rPr>
          <w:rFonts w:cs="Arial"/>
          <w:bCs/>
        </w:rPr>
      </w:pPr>
      <w:r w:rsidRPr="00F2227A">
        <w:rPr>
          <w:rFonts w:cs="Arial"/>
          <w:bCs/>
        </w:rPr>
        <w:t>Secretaria de Fomento</w:t>
      </w:r>
    </w:p>
    <w:p w14:paraId="521A7FA1" w14:textId="77777777" w:rsidR="00F2227A" w:rsidRPr="00F2227A" w:rsidRDefault="00F2227A" w:rsidP="00F2227A">
      <w:pPr>
        <w:numPr>
          <w:ilvl w:val="0"/>
          <w:numId w:val="31"/>
        </w:numPr>
        <w:jc w:val="both"/>
        <w:rPr>
          <w:rFonts w:cs="Arial"/>
          <w:bCs/>
        </w:rPr>
      </w:pPr>
      <w:r w:rsidRPr="00F2227A">
        <w:rPr>
          <w:rFonts w:cs="Arial"/>
          <w:bCs/>
        </w:rPr>
        <w:t>Secretaria de Guerra y Marina</w:t>
      </w:r>
    </w:p>
    <w:p w14:paraId="5D9F2395" w14:textId="77777777" w:rsidR="00F2227A" w:rsidRPr="00F2227A" w:rsidRDefault="00F2227A" w:rsidP="00F2227A">
      <w:pPr>
        <w:numPr>
          <w:ilvl w:val="0"/>
          <w:numId w:val="31"/>
        </w:numPr>
        <w:jc w:val="both"/>
        <w:rPr>
          <w:rFonts w:cs="Arial"/>
          <w:bCs/>
        </w:rPr>
      </w:pPr>
      <w:r w:rsidRPr="00F2227A">
        <w:rPr>
          <w:rFonts w:cs="Arial"/>
          <w:bCs/>
        </w:rPr>
        <w:t>Secretaria de Policía</w:t>
      </w:r>
    </w:p>
    <w:p w14:paraId="3D24F66D" w14:textId="77777777" w:rsidR="00F2227A" w:rsidRPr="00F2227A" w:rsidRDefault="00F2227A" w:rsidP="00F2227A">
      <w:pPr>
        <w:numPr>
          <w:ilvl w:val="0"/>
          <w:numId w:val="31"/>
        </w:numPr>
        <w:jc w:val="both"/>
        <w:rPr>
          <w:rFonts w:cs="Arial"/>
          <w:bCs/>
        </w:rPr>
      </w:pPr>
      <w:r w:rsidRPr="00F2227A">
        <w:rPr>
          <w:rFonts w:cs="Arial"/>
          <w:color w:val="000000"/>
        </w:rPr>
        <w:t xml:space="preserve">Virginia Zúñiga Tristán </w:t>
      </w:r>
    </w:p>
    <w:p w14:paraId="4E0E91A2" w14:textId="77777777" w:rsidR="00F2227A" w:rsidRPr="00F2227A" w:rsidRDefault="00F2227A" w:rsidP="00F2227A">
      <w:pPr>
        <w:jc w:val="both"/>
        <w:rPr>
          <w:rFonts w:cs="Arial"/>
          <w:bCs/>
        </w:rPr>
      </w:pPr>
    </w:p>
    <w:p w14:paraId="1FF5CC1F" w14:textId="77777777" w:rsidR="00F2227A" w:rsidRPr="00F2227A" w:rsidRDefault="00F2227A" w:rsidP="00F2227A">
      <w:pPr>
        <w:pStyle w:val="Textoindependiente"/>
        <w:jc w:val="both"/>
        <w:rPr>
          <w:rFonts w:ascii="Arial" w:hAnsi="Arial" w:cs="Arial"/>
          <w:sz w:val="22"/>
          <w:szCs w:val="22"/>
          <w:lang w:val="es-CR" w:eastAsia="es-CR"/>
        </w:rPr>
      </w:pPr>
      <w:r w:rsidRPr="00F2227A">
        <w:rPr>
          <w:rFonts w:ascii="Arial" w:hAnsi="Arial" w:cs="Arial"/>
          <w:sz w:val="22"/>
          <w:szCs w:val="22"/>
          <w:lang w:val="es-CR" w:eastAsia="es-CR"/>
        </w:rPr>
        <w:t>Colecciones: Mapas y Planos; Fotografías; Materiales Divulgativos en pequeño Formato; Memorias; Grabaciones; Afiches y Videos.</w:t>
      </w:r>
    </w:p>
    <w:p w14:paraId="33A473B1" w14:textId="77777777" w:rsidR="00F2227A" w:rsidRPr="00F2227A" w:rsidRDefault="00F2227A" w:rsidP="00F2227A">
      <w:pPr>
        <w:pStyle w:val="Textoindependiente"/>
        <w:jc w:val="both"/>
        <w:rPr>
          <w:rFonts w:ascii="Arial" w:hAnsi="Arial" w:cs="Arial"/>
          <w:sz w:val="22"/>
          <w:szCs w:val="22"/>
          <w:lang w:val="es-CR" w:eastAsia="es-CR"/>
        </w:rPr>
      </w:pPr>
    </w:p>
    <w:p w14:paraId="46F70A24" w14:textId="77777777" w:rsidR="00F2227A" w:rsidRPr="00F2227A" w:rsidRDefault="00F2227A" w:rsidP="00F2227A">
      <w:pPr>
        <w:pStyle w:val="Textoindependiente"/>
        <w:jc w:val="both"/>
        <w:rPr>
          <w:rFonts w:ascii="Arial" w:hAnsi="Arial" w:cs="Arial"/>
          <w:sz w:val="22"/>
          <w:szCs w:val="22"/>
          <w:lang w:val="es-CR" w:eastAsia="es-CR"/>
        </w:rPr>
      </w:pPr>
      <w:r w:rsidRPr="00F2227A">
        <w:rPr>
          <w:rFonts w:ascii="Arial" w:hAnsi="Arial" w:cs="Arial"/>
          <w:sz w:val="22"/>
          <w:szCs w:val="22"/>
          <w:lang w:val="es-CR" w:eastAsia="es-CR"/>
        </w:rPr>
        <w:t>En el Archivo Intermedio se custodian 30 metros correspondiente a transferencias que ingresaron por medio del artículo 53 de la Ley 7202, fecha de 1994-2014.</w:t>
      </w:r>
    </w:p>
    <w:p w14:paraId="0E4CF3CD" w14:textId="77777777" w:rsidR="00F2227A" w:rsidRPr="00F2227A" w:rsidRDefault="00F2227A" w:rsidP="00F2227A">
      <w:pPr>
        <w:jc w:val="both"/>
        <w:rPr>
          <w:rFonts w:cs="Arial"/>
          <w:color w:val="000000"/>
        </w:rPr>
      </w:pPr>
    </w:p>
    <w:p w14:paraId="3931C874" w14:textId="77777777" w:rsidR="00F2227A" w:rsidRPr="00F2227A" w:rsidRDefault="00F2227A" w:rsidP="00F2227A">
      <w:pPr>
        <w:numPr>
          <w:ilvl w:val="1"/>
          <w:numId w:val="30"/>
        </w:numPr>
        <w:jc w:val="both"/>
        <w:rPr>
          <w:rFonts w:cs="Arial"/>
          <w:b/>
          <w:bCs/>
        </w:rPr>
      </w:pPr>
      <w:r w:rsidRPr="00F2227A">
        <w:rPr>
          <w:rFonts w:cs="Arial"/>
          <w:b/>
          <w:bCs/>
        </w:rPr>
        <w:t>NOTA DE PUBLICACIONES:</w:t>
      </w:r>
    </w:p>
    <w:p w14:paraId="45E3E0D5" w14:textId="77777777" w:rsidR="00F2227A" w:rsidRPr="00F2227A" w:rsidRDefault="00F2227A" w:rsidP="00F2227A">
      <w:pPr>
        <w:pStyle w:val="Sinespaciado"/>
        <w:jc w:val="both"/>
        <w:rPr>
          <w:rFonts w:ascii="Arial" w:hAnsi="Arial" w:cs="Arial"/>
          <w:sz w:val="22"/>
          <w:szCs w:val="22"/>
          <w:lang w:val="es-CR"/>
        </w:rPr>
      </w:pPr>
    </w:p>
    <w:p w14:paraId="5FEDC79D" w14:textId="77777777" w:rsidR="00F2227A" w:rsidRDefault="00F2227A" w:rsidP="00F2227A">
      <w:pPr>
        <w:pStyle w:val="Sinespaciado"/>
        <w:jc w:val="both"/>
        <w:rPr>
          <w:rFonts w:ascii="Arial" w:hAnsi="Arial" w:cs="Arial"/>
          <w:sz w:val="22"/>
          <w:szCs w:val="22"/>
        </w:rPr>
      </w:pPr>
      <w:r w:rsidRPr="00F2227A">
        <w:rPr>
          <w:rFonts w:ascii="Arial" w:hAnsi="Arial" w:cs="Arial"/>
          <w:sz w:val="22"/>
          <w:szCs w:val="22"/>
        </w:rPr>
        <w:t xml:space="preserve">Revista Electrónica de Historia. </w:t>
      </w:r>
      <w:r w:rsidRPr="00F2227A">
        <w:rPr>
          <w:rFonts w:ascii="Arial" w:hAnsi="Arial" w:cs="Arial"/>
          <w:i/>
          <w:sz w:val="22"/>
          <w:szCs w:val="22"/>
        </w:rPr>
        <w:t xml:space="preserve">Diálogos. </w:t>
      </w:r>
      <w:r w:rsidRPr="00F2227A">
        <w:rPr>
          <w:rStyle w:val="apple-style-span"/>
          <w:rFonts w:ascii="Arial" w:hAnsi="Arial" w:cs="Arial"/>
          <w:color w:val="000000"/>
          <w:sz w:val="22"/>
          <w:szCs w:val="22"/>
        </w:rPr>
        <w:t xml:space="preserve">[En línea]. </w:t>
      </w:r>
      <w:r w:rsidRPr="00F2227A">
        <w:rPr>
          <w:rFonts w:ascii="Arial" w:hAnsi="Arial" w:cs="Arial"/>
          <w:sz w:val="22"/>
          <w:szCs w:val="22"/>
        </w:rPr>
        <w:t>Vol. 15 N° 1, febrero-agosto 2014. San José,</w:t>
      </w:r>
      <w:r>
        <w:rPr>
          <w:rFonts w:ascii="Arial" w:hAnsi="Arial" w:cs="Arial"/>
          <w:sz w:val="22"/>
          <w:szCs w:val="22"/>
        </w:rPr>
        <w:t xml:space="preserve"> </w:t>
      </w:r>
      <w:r w:rsidRPr="00F2227A">
        <w:rPr>
          <w:rFonts w:ascii="Arial" w:hAnsi="Arial" w:cs="Arial"/>
          <w:sz w:val="22"/>
          <w:szCs w:val="22"/>
        </w:rPr>
        <w:t>Costa Rica.</w:t>
      </w:r>
    </w:p>
    <w:p w14:paraId="6C14777C" w14:textId="400FAEDF" w:rsidR="00F2227A" w:rsidRPr="00F2227A" w:rsidRDefault="00F2227A" w:rsidP="00F2227A">
      <w:pPr>
        <w:pStyle w:val="Sinespaciado"/>
        <w:jc w:val="both"/>
        <w:rPr>
          <w:rFonts w:ascii="Arial" w:hAnsi="Arial" w:cs="Arial"/>
          <w:sz w:val="22"/>
          <w:szCs w:val="22"/>
        </w:rPr>
      </w:pPr>
      <w:r w:rsidRPr="00F2227A">
        <w:rPr>
          <w:rFonts w:ascii="Arial" w:hAnsi="Arial" w:cs="Arial"/>
          <w:sz w:val="22"/>
          <w:szCs w:val="22"/>
        </w:rPr>
        <w:t xml:space="preserve">Disponible en: http://revistas.ucr.ac.cr/index.php/dialogos/article/view/13641/13031 </w:t>
      </w:r>
      <w:r w:rsidRPr="00F2227A">
        <w:rPr>
          <w:rStyle w:val="apple-style-span"/>
          <w:rFonts w:ascii="Arial" w:hAnsi="Arial" w:cs="Arial"/>
          <w:color w:val="000000"/>
          <w:sz w:val="22"/>
          <w:szCs w:val="22"/>
        </w:rPr>
        <w:t>[</w:t>
      </w:r>
      <w:r w:rsidRPr="00F2227A">
        <w:rPr>
          <w:rFonts w:ascii="Arial" w:hAnsi="Arial" w:cs="Arial"/>
          <w:sz w:val="22"/>
          <w:szCs w:val="22"/>
        </w:rPr>
        <w:t>Consultado 4, julio, 2014</w:t>
      </w:r>
      <w:r w:rsidRPr="00F2227A">
        <w:rPr>
          <w:rStyle w:val="apple-style-span"/>
          <w:rFonts w:ascii="Arial" w:hAnsi="Arial" w:cs="Arial"/>
          <w:color w:val="000000"/>
          <w:sz w:val="22"/>
          <w:szCs w:val="22"/>
        </w:rPr>
        <w:t>].</w:t>
      </w:r>
    </w:p>
    <w:p w14:paraId="5CCA7C8A" w14:textId="77777777" w:rsidR="00F2227A" w:rsidRPr="00F2227A" w:rsidRDefault="00F2227A" w:rsidP="00F2227A">
      <w:pPr>
        <w:pStyle w:val="Sinespaciado"/>
        <w:jc w:val="both"/>
        <w:rPr>
          <w:rFonts w:ascii="Arial" w:hAnsi="Arial" w:cs="Arial"/>
          <w:sz w:val="22"/>
          <w:szCs w:val="22"/>
        </w:rPr>
      </w:pPr>
    </w:p>
    <w:p w14:paraId="5F189EFC" w14:textId="77777777" w:rsidR="00F2227A" w:rsidRPr="00F2227A" w:rsidRDefault="00F2227A" w:rsidP="00F2227A">
      <w:pPr>
        <w:pStyle w:val="Sinespaciado"/>
        <w:jc w:val="both"/>
        <w:rPr>
          <w:rFonts w:ascii="Arial" w:hAnsi="Arial" w:cs="Arial"/>
          <w:sz w:val="22"/>
          <w:szCs w:val="22"/>
        </w:rPr>
      </w:pPr>
    </w:p>
    <w:p w14:paraId="4E98161E" w14:textId="77777777" w:rsidR="00F2227A" w:rsidRPr="00F2227A" w:rsidRDefault="00F2227A" w:rsidP="00F2227A">
      <w:pPr>
        <w:numPr>
          <w:ilvl w:val="0"/>
          <w:numId w:val="32"/>
        </w:numPr>
        <w:jc w:val="both"/>
        <w:rPr>
          <w:rFonts w:cs="Arial"/>
          <w:b/>
          <w:bCs/>
        </w:rPr>
      </w:pPr>
      <w:r w:rsidRPr="00F2227A">
        <w:rPr>
          <w:rFonts w:cs="Arial"/>
          <w:b/>
          <w:bCs/>
        </w:rPr>
        <w:t>ÁREA DE CONTROL DE LA DESCRIPCIÓN</w:t>
      </w:r>
    </w:p>
    <w:p w14:paraId="3B955E4E" w14:textId="77777777" w:rsidR="00F2227A" w:rsidRPr="00F2227A" w:rsidRDefault="00F2227A" w:rsidP="00F2227A">
      <w:pPr>
        <w:jc w:val="both"/>
        <w:rPr>
          <w:rFonts w:cs="Arial"/>
        </w:rPr>
      </w:pPr>
    </w:p>
    <w:p w14:paraId="6C4FB545" w14:textId="77777777" w:rsidR="00F2227A" w:rsidRPr="00F2227A" w:rsidRDefault="00F2227A" w:rsidP="00F2227A">
      <w:pPr>
        <w:numPr>
          <w:ilvl w:val="1"/>
          <w:numId w:val="33"/>
        </w:numPr>
        <w:ind w:left="0" w:firstLine="0"/>
        <w:jc w:val="both"/>
        <w:rPr>
          <w:rFonts w:cs="Arial"/>
          <w:b/>
          <w:bCs/>
        </w:rPr>
      </w:pPr>
      <w:r w:rsidRPr="00F2227A">
        <w:rPr>
          <w:rFonts w:cs="Arial"/>
          <w:b/>
          <w:bCs/>
        </w:rPr>
        <w:t xml:space="preserve">NOTA DEL ARCHIVERO: </w:t>
      </w:r>
      <w:r w:rsidRPr="00F2227A">
        <w:rPr>
          <w:rFonts w:cs="Arial"/>
          <w:bCs/>
        </w:rPr>
        <w:t xml:space="preserve">Elaborado por Elías Jaén López, Carrera de Archivística, Escuela de Historia, Universidad de Costa Rica; actualizado por </w:t>
      </w:r>
      <w:r w:rsidRPr="00F2227A">
        <w:rPr>
          <w:rFonts w:cs="Arial"/>
        </w:rPr>
        <w:t>Cynthia Arguedas Loaiza, profesional del Departamento del Archivo Histórico.</w:t>
      </w:r>
    </w:p>
    <w:p w14:paraId="48E9F73A" w14:textId="77777777" w:rsidR="00F2227A" w:rsidRPr="00F2227A" w:rsidRDefault="00F2227A" w:rsidP="00F2227A">
      <w:pPr>
        <w:jc w:val="both"/>
        <w:rPr>
          <w:rFonts w:cs="Arial"/>
          <w:lang w:val="es-ES_tradnl"/>
        </w:rPr>
      </w:pPr>
    </w:p>
    <w:p w14:paraId="52BE39EC" w14:textId="77777777" w:rsidR="00F2227A" w:rsidRPr="00F2227A" w:rsidRDefault="00F2227A" w:rsidP="00F2227A">
      <w:pPr>
        <w:jc w:val="both"/>
        <w:rPr>
          <w:rFonts w:cs="Arial"/>
          <w:lang w:val="es-ES_tradnl"/>
        </w:rPr>
      </w:pPr>
      <w:r w:rsidRPr="00F2227A">
        <w:rPr>
          <w:rFonts w:cs="Arial"/>
          <w:lang w:val="es-ES_tradnl"/>
        </w:rPr>
        <w:t>Para la realización de la entrada descriptiva se consultaron los siguientes documentos:</w:t>
      </w:r>
    </w:p>
    <w:p w14:paraId="66C0E202" w14:textId="77777777" w:rsidR="00F2227A" w:rsidRPr="00F2227A" w:rsidRDefault="00F2227A" w:rsidP="00F2227A">
      <w:pPr>
        <w:jc w:val="both"/>
        <w:rPr>
          <w:rFonts w:cs="Arial"/>
          <w:lang w:val="es-ES_tradnl"/>
        </w:rPr>
      </w:pPr>
    </w:p>
    <w:p w14:paraId="10AB4750" w14:textId="77777777" w:rsidR="00F2227A" w:rsidRPr="00F2227A" w:rsidRDefault="00F2227A" w:rsidP="00F2227A">
      <w:pPr>
        <w:jc w:val="both"/>
        <w:rPr>
          <w:rFonts w:cs="Arial"/>
          <w:u w:val="single"/>
          <w:lang w:val="es-ES_tradnl"/>
        </w:rPr>
      </w:pPr>
      <w:r w:rsidRPr="00F2227A">
        <w:rPr>
          <w:rFonts w:cs="Arial"/>
          <w:u w:val="single"/>
          <w:lang w:val="es-ES_tradnl"/>
        </w:rPr>
        <w:t>Bibliografía</w:t>
      </w:r>
    </w:p>
    <w:p w14:paraId="15DB80B6" w14:textId="77777777" w:rsidR="00F2227A" w:rsidRPr="00F2227A" w:rsidRDefault="00F2227A" w:rsidP="00F2227A">
      <w:pPr>
        <w:jc w:val="both"/>
        <w:rPr>
          <w:rFonts w:cs="Arial"/>
          <w:lang w:val="es-ES_tradnl"/>
        </w:rPr>
      </w:pPr>
      <w:r w:rsidRPr="00F2227A">
        <w:rPr>
          <w:rFonts w:cs="Arial"/>
          <w:lang w:val="es-ES_tradnl"/>
        </w:rPr>
        <w:t xml:space="preserve">Ministerio de Gobernación y Policía (1994). </w:t>
      </w:r>
      <w:r w:rsidRPr="00F2227A">
        <w:rPr>
          <w:rFonts w:cs="Arial"/>
          <w:i/>
          <w:lang w:val="es-ES_tradnl"/>
        </w:rPr>
        <w:t>150 años de historia</w:t>
      </w:r>
      <w:r w:rsidRPr="00F2227A">
        <w:rPr>
          <w:rFonts w:cs="Arial"/>
          <w:lang w:val="es-ES_tradnl"/>
        </w:rPr>
        <w:t>. San José, Costa Rica: Imprenta Nacional</w:t>
      </w:r>
    </w:p>
    <w:p w14:paraId="20E585E2" w14:textId="77777777" w:rsidR="00F2227A" w:rsidRPr="00F2227A" w:rsidRDefault="00F2227A" w:rsidP="00F2227A">
      <w:pPr>
        <w:jc w:val="both"/>
        <w:rPr>
          <w:rFonts w:cs="Arial"/>
          <w:lang w:val="es-ES_tradnl"/>
        </w:rPr>
      </w:pPr>
    </w:p>
    <w:p w14:paraId="204DF8AF" w14:textId="77777777" w:rsidR="00F2227A" w:rsidRPr="00F2227A" w:rsidRDefault="00F2227A" w:rsidP="00F2227A">
      <w:pPr>
        <w:jc w:val="both"/>
        <w:rPr>
          <w:rFonts w:cs="Arial"/>
          <w:bCs/>
          <w:u w:val="single"/>
          <w:lang w:val="es-ES_tradnl"/>
        </w:rPr>
      </w:pPr>
      <w:r w:rsidRPr="00F2227A">
        <w:rPr>
          <w:rFonts w:cs="Arial"/>
          <w:bCs/>
          <w:u w:val="single"/>
          <w:lang w:val="es-ES_tradnl"/>
        </w:rPr>
        <w:t>Base de datos:</w:t>
      </w:r>
    </w:p>
    <w:p w14:paraId="6A4A1349" w14:textId="77777777" w:rsidR="00F2227A" w:rsidRPr="00F2227A" w:rsidRDefault="00F2227A" w:rsidP="00F2227A">
      <w:pPr>
        <w:jc w:val="both"/>
        <w:rPr>
          <w:rFonts w:cs="Arial"/>
          <w:lang w:val="es-ES"/>
        </w:rPr>
      </w:pPr>
      <w:r w:rsidRPr="00F2227A">
        <w:rPr>
          <w:rFonts w:cs="Arial"/>
        </w:rPr>
        <w:t>Base de datos del Departamento Archivo Histórico: ARC.</w:t>
      </w:r>
    </w:p>
    <w:p w14:paraId="36D2BCD3" w14:textId="77777777" w:rsidR="00F2227A" w:rsidRPr="00F2227A" w:rsidRDefault="00F2227A" w:rsidP="00F2227A">
      <w:pPr>
        <w:jc w:val="both"/>
        <w:rPr>
          <w:rFonts w:cs="Arial"/>
          <w:lang w:val="es-ES_tradnl"/>
        </w:rPr>
      </w:pPr>
      <w:r w:rsidRPr="00F2227A">
        <w:rPr>
          <w:rFonts w:cs="Arial"/>
          <w:lang w:val="es-ES_tradnl"/>
        </w:rPr>
        <w:t>Base de datos del Archivo Intermedio: AINT</w:t>
      </w:r>
    </w:p>
    <w:p w14:paraId="4DA2B44E" w14:textId="77777777" w:rsidR="00F2227A" w:rsidRPr="00F2227A" w:rsidRDefault="00F2227A" w:rsidP="00F2227A">
      <w:pPr>
        <w:jc w:val="both"/>
        <w:rPr>
          <w:rFonts w:cs="Arial"/>
          <w:lang w:val="es-ES_tradnl"/>
        </w:rPr>
      </w:pPr>
    </w:p>
    <w:p w14:paraId="75EC0360" w14:textId="77777777" w:rsidR="00F2227A" w:rsidRPr="00F2227A" w:rsidRDefault="00F2227A" w:rsidP="00F2227A">
      <w:pPr>
        <w:jc w:val="both"/>
        <w:rPr>
          <w:rFonts w:cs="Arial"/>
          <w:u w:val="single"/>
          <w:lang w:val="es-ES_tradnl"/>
        </w:rPr>
      </w:pPr>
      <w:r w:rsidRPr="00F2227A">
        <w:rPr>
          <w:rFonts w:cs="Arial"/>
          <w:bCs/>
          <w:u w:val="single"/>
          <w:lang w:val="es-ES_tradnl"/>
        </w:rPr>
        <w:t>Archivo de gestión, Departamento Archivo Histórico</w:t>
      </w:r>
      <w:r w:rsidRPr="00F2227A">
        <w:rPr>
          <w:rFonts w:cs="Arial"/>
          <w:u w:val="single"/>
          <w:lang w:val="es-ES_tradnl"/>
        </w:rPr>
        <w:t>:</w:t>
      </w:r>
    </w:p>
    <w:p w14:paraId="7A4A816B" w14:textId="77777777" w:rsidR="00F2227A" w:rsidRPr="00F2227A" w:rsidRDefault="00F2227A" w:rsidP="00F2227A">
      <w:pPr>
        <w:jc w:val="both"/>
        <w:rPr>
          <w:rFonts w:cs="Arial"/>
          <w:lang w:val="es-ES_tradnl"/>
        </w:rPr>
      </w:pPr>
      <w:r w:rsidRPr="00F2227A">
        <w:rPr>
          <w:rFonts w:cs="Arial"/>
          <w:lang w:val="es-ES_tradnl"/>
        </w:rPr>
        <w:t xml:space="preserve">Expediente de Transferencias. </w:t>
      </w:r>
      <w:r w:rsidRPr="00F2227A">
        <w:rPr>
          <w:rFonts w:cs="Arial"/>
        </w:rPr>
        <w:t>Ministerio de Relaciones Exteriores y Culto. 1987-2011.</w:t>
      </w:r>
    </w:p>
    <w:p w14:paraId="1753D657" w14:textId="77777777" w:rsidR="00F2227A" w:rsidRPr="00F2227A" w:rsidRDefault="00F2227A" w:rsidP="00F2227A">
      <w:pPr>
        <w:ind w:left="709"/>
        <w:jc w:val="both"/>
        <w:rPr>
          <w:rFonts w:cs="Arial"/>
          <w:lang w:val="es-ES_tradnl"/>
        </w:rPr>
      </w:pPr>
    </w:p>
    <w:p w14:paraId="065293D0" w14:textId="77777777" w:rsidR="00F2227A" w:rsidRPr="00F2227A" w:rsidRDefault="00F2227A" w:rsidP="00F2227A">
      <w:pPr>
        <w:jc w:val="both"/>
        <w:rPr>
          <w:rFonts w:cs="Arial"/>
          <w:u w:val="single"/>
          <w:lang w:val="es-ES_tradnl"/>
        </w:rPr>
      </w:pPr>
      <w:r w:rsidRPr="00F2227A">
        <w:rPr>
          <w:rFonts w:cs="Arial"/>
          <w:bCs/>
          <w:u w:val="single"/>
          <w:lang w:val="es-ES_tradnl"/>
        </w:rPr>
        <w:t>Archivo de gestión, Departamento Servicios Archivísticos Externos</w:t>
      </w:r>
      <w:r w:rsidRPr="00F2227A">
        <w:rPr>
          <w:rFonts w:cs="Arial"/>
          <w:u w:val="single"/>
          <w:lang w:val="es-ES_tradnl"/>
        </w:rPr>
        <w:t>:</w:t>
      </w:r>
    </w:p>
    <w:p w14:paraId="28FD3BA0" w14:textId="77777777" w:rsidR="00F2227A" w:rsidRPr="00F2227A" w:rsidRDefault="00F2227A" w:rsidP="00F2227A">
      <w:pPr>
        <w:pStyle w:val="Sinespaciado"/>
        <w:jc w:val="both"/>
        <w:rPr>
          <w:rFonts w:ascii="Arial" w:hAnsi="Arial" w:cs="Arial"/>
          <w:sz w:val="22"/>
          <w:szCs w:val="22"/>
          <w:lang w:val="es-CR"/>
        </w:rPr>
      </w:pPr>
      <w:r w:rsidRPr="00F2227A">
        <w:rPr>
          <w:rFonts w:ascii="Arial" w:hAnsi="Arial" w:cs="Arial"/>
          <w:sz w:val="22"/>
          <w:szCs w:val="22"/>
        </w:rPr>
        <w:t>Expediente de Transferencias. Ministerio de Relaciones Exteriores y Culto. 1981-2012.</w:t>
      </w:r>
    </w:p>
    <w:p w14:paraId="15E53149" w14:textId="77777777" w:rsidR="00F2227A" w:rsidRPr="00F2227A" w:rsidRDefault="00F2227A" w:rsidP="00F2227A">
      <w:pPr>
        <w:pStyle w:val="Sinespaciado"/>
        <w:jc w:val="both"/>
        <w:rPr>
          <w:rFonts w:ascii="Arial" w:hAnsi="Arial" w:cs="Arial"/>
          <w:sz w:val="22"/>
          <w:szCs w:val="22"/>
        </w:rPr>
      </w:pPr>
      <w:r w:rsidRPr="00F2227A">
        <w:rPr>
          <w:rFonts w:ascii="Arial" w:hAnsi="Arial" w:cs="Arial"/>
          <w:sz w:val="22"/>
          <w:szCs w:val="22"/>
        </w:rPr>
        <w:t>Registro de transferencias. 1994-2014.</w:t>
      </w:r>
    </w:p>
    <w:p w14:paraId="14A06DED" w14:textId="77777777" w:rsidR="00F2227A" w:rsidRPr="00F2227A" w:rsidRDefault="00F2227A" w:rsidP="00F2227A">
      <w:pPr>
        <w:ind w:left="709"/>
        <w:jc w:val="both"/>
        <w:rPr>
          <w:rFonts w:cs="Arial"/>
          <w:b/>
          <w:bCs/>
          <w:lang w:val="es-ES_tradnl"/>
        </w:rPr>
      </w:pPr>
    </w:p>
    <w:p w14:paraId="69A5DD9C" w14:textId="77777777" w:rsidR="00F2227A" w:rsidRPr="00F2227A" w:rsidRDefault="00F2227A" w:rsidP="00F2227A">
      <w:pPr>
        <w:numPr>
          <w:ilvl w:val="1"/>
          <w:numId w:val="33"/>
        </w:numPr>
        <w:jc w:val="both"/>
        <w:rPr>
          <w:rFonts w:cs="Arial"/>
          <w:b/>
          <w:bCs/>
        </w:rPr>
      </w:pPr>
      <w:r w:rsidRPr="00F2227A">
        <w:rPr>
          <w:rFonts w:cs="Arial"/>
          <w:b/>
          <w:bCs/>
        </w:rPr>
        <w:t>REGLAS O NORMAS:</w:t>
      </w:r>
    </w:p>
    <w:p w14:paraId="1B339293" w14:textId="77777777" w:rsidR="00F2227A" w:rsidRPr="00F2227A" w:rsidRDefault="00F2227A" w:rsidP="00F2227A">
      <w:pPr>
        <w:jc w:val="both"/>
        <w:rPr>
          <w:rFonts w:cs="Arial"/>
        </w:rPr>
      </w:pPr>
      <w:r w:rsidRPr="00F2227A">
        <w:rPr>
          <w:rFonts w:cs="Arial"/>
        </w:rPr>
        <w:t>Dirección General del Archivo Nacional (2010). Aplicación de la Norma Internacional de Descripción ISAD (G) en el Archivo Nacional.</w:t>
      </w:r>
    </w:p>
    <w:p w14:paraId="248AD045" w14:textId="77777777" w:rsidR="00F2227A" w:rsidRPr="00F2227A" w:rsidRDefault="00F2227A" w:rsidP="00F2227A">
      <w:pPr>
        <w:jc w:val="both"/>
        <w:rPr>
          <w:rFonts w:cs="Arial"/>
        </w:rPr>
      </w:pPr>
    </w:p>
    <w:p w14:paraId="7C64A9C0" w14:textId="77777777" w:rsidR="00F2227A" w:rsidRPr="00F2227A" w:rsidRDefault="00F2227A" w:rsidP="00F2227A">
      <w:pPr>
        <w:numPr>
          <w:ilvl w:val="1"/>
          <w:numId w:val="33"/>
        </w:numPr>
        <w:ind w:left="0" w:firstLine="0"/>
        <w:jc w:val="both"/>
        <w:rPr>
          <w:rFonts w:cs="Arial"/>
          <w:b/>
          <w:bCs/>
        </w:rPr>
      </w:pPr>
      <w:r w:rsidRPr="00F2227A">
        <w:rPr>
          <w:rFonts w:cs="Arial"/>
          <w:b/>
          <w:bCs/>
        </w:rPr>
        <w:t xml:space="preserve">FECHA (S) DE LA (S) DESCRIPCIÓN (ES): </w:t>
      </w:r>
      <w:r w:rsidRPr="00F2227A">
        <w:rPr>
          <w:rFonts w:cs="Arial"/>
          <w:bCs/>
        </w:rPr>
        <w:t>Elaborada 1996-06-20. Actualizada 2014-07. Revisada y aprobada por la Comisión de Descripción del Archivo Nacional, sesión 06-2014 de 2014-08-19.</w:t>
      </w:r>
    </w:p>
    <w:p w14:paraId="69434869" w14:textId="77777777" w:rsidR="00550F08" w:rsidRPr="00F2227A" w:rsidRDefault="00550F08" w:rsidP="00F2227A">
      <w:pPr>
        <w:jc w:val="both"/>
        <w:rPr>
          <w:rFonts w:cs="Arial"/>
        </w:rPr>
      </w:pPr>
    </w:p>
    <w:sectPr w:rsidR="00550F08" w:rsidRPr="00F2227A"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E9D9B" w14:textId="77777777" w:rsidR="00AC3ADB" w:rsidRDefault="00AC3ADB" w:rsidP="00602906">
      <w:r>
        <w:separator/>
      </w:r>
    </w:p>
  </w:endnote>
  <w:endnote w:type="continuationSeparator" w:id="0">
    <w:p w14:paraId="0F55E50D" w14:textId="77777777" w:rsidR="00AC3ADB" w:rsidRDefault="00AC3ADB"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7DFB7E57"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5FA1E" w14:textId="77777777" w:rsidR="00AC3ADB" w:rsidRDefault="00AC3ADB" w:rsidP="00602906">
      <w:r>
        <w:separator/>
      </w:r>
    </w:p>
  </w:footnote>
  <w:footnote w:type="continuationSeparator" w:id="0">
    <w:p w14:paraId="3B2FF539" w14:textId="77777777" w:rsidR="00AC3ADB" w:rsidRDefault="00AC3ADB"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5">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6">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7">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66B624B"/>
    <w:multiLevelType w:val="multilevel"/>
    <w:tmpl w:val="6FD83F62"/>
    <w:lvl w:ilvl="0">
      <w:start w:val="1"/>
      <w:numFmt w:val="decimal"/>
      <w:lvlText w:val="%1"/>
      <w:lvlJc w:val="left"/>
      <w:pPr>
        <w:ind w:left="360" w:hanging="360"/>
      </w:pPr>
      <w:rPr>
        <w:b/>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1">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nsid w:val="07EF0ECF"/>
    <w:multiLevelType w:val="hybridMultilevel"/>
    <w:tmpl w:val="88AE1F1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1A4759A0"/>
    <w:multiLevelType w:val="multilevel"/>
    <w:tmpl w:val="CB307CE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2D4385D"/>
    <w:multiLevelType w:val="hybridMultilevel"/>
    <w:tmpl w:val="149293E6"/>
    <w:lvl w:ilvl="0" w:tplc="7B866876">
      <w:start w:val="7"/>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nsid w:val="36453C0C"/>
    <w:multiLevelType w:val="hybridMultilevel"/>
    <w:tmpl w:val="9376941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73A5ECD"/>
    <w:multiLevelType w:val="hybridMultilevel"/>
    <w:tmpl w:val="2D36EF4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D6162E1"/>
    <w:multiLevelType w:val="hybridMultilevel"/>
    <w:tmpl w:val="5ABC4E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49700C1B"/>
    <w:multiLevelType w:val="multilevel"/>
    <w:tmpl w:val="8FAC23BC"/>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nsid w:val="49C72526"/>
    <w:multiLevelType w:val="multilevel"/>
    <w:tmpl w:val="3D6CBD2C"/>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1">
    <w:nsid w:val="4A22390C"/>
    <w:multiLevelType w:val="multilevel"/>
    <w:tmpl w:val="924E41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ADB67DC"/>
    <w:multiLevelType w:val="multilevel"/>
    <w:tmpl w:val="C6A2B1F8"/>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3">
    <w:nsid w:val="56280C66"/>
    <w:multiLevelType w:val="multilevel"/>
    <w:tmpl w:val="5BAEA6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3C11D27"/>
    <w:multiLevelType w:val="multilevel"/>
    <w:tmpl w:val="0D18C74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5">
    <w:nsid w:val="648D3A80"/>
    <w:multiLevelType w:val="multilevel"/>
    <w:tmpl w:val="2060549E"/>
    <w:lvl w:ilvl="0">
      <w:start w:val="2"/>
      <w:numFmt w:val="decimal"/>
      <w:lvlText w:val="%1"/>
      <w:lvlJc w:val="left"/>
      <w:pPr>
        <w:ind w:left="360" w:hanging="36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440" w:hanging="1440"/>
      </w:pPr>
      <w:rPr>
        <w:rFonts w:hint="default"/>
        <w:b/>
        <w:sz w:val="20"/>
      </w:rPr>
    </w:lvl>
    <w:lvl w:ilvl="5">
      <w:start w:val="1"/>
      <w:numFmt w:val="decimal"/>
      <w:lvlText w:val="%1.%2.%3.%4.%5.%6"/>
      <w:lvlJc w:val="left"/>
      <w:pPr>
        <w:ind w:left="1800" w:hanging="180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2160" w:hanging="2160"/>
      </w:pPr>
      <w:rPr>
        <w:rFonts w:hint="default"/>
        <w:b/>
        <w:sz w:val="20"/>
      </w:rPr>
    </w:lvl>
    <w:lvl w:ilvl="8">
      <w:start w:val="1"/>
      <w:numFmt w:val="decimal"/>
      <w:lvlText w:val="%1.%2.%3.%4.%5.%6.%7.%8.%9"/>
      <w:lvlJc w:val="left"/>
      <w:pPr>
        <w:ind w:left="2520" w:hanging="2520"/>
      </w:pPr>
      <w:rPr>
        <w:rFonts w:hint="default"/>
        <w:b/>
        <w:sz w:val="20"/>
      </w:rPr>
    </w:lvl>
  </w:abstractNum>
  <w:abstractNum w:abstractNumId="26">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7">
    <w:nsid w:val="6C391A97"/>
    <w:multiLevelType w:val="hybridMultilevel"/>
    <w:tmpl w:val="3D4AA8B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73915AD6"/>
    <w:multiLevelType w:val="multilevel"/>
    <w:tmpl w:val="ADF652EC"/>
    <w:lvl w:ilvl="0">
      <w:start w:val="5"/>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nsid w:val="7839730B"/>
    <w:multiLevelType w:val="hybridMultilevel"/>
    <w:tmpl w:val="442EE3E6"/>
    <w:lvl w:ilvl="0" w:tplc="140A000F">
      <w:start w:val="3"/>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nsid w:val="7BE71CEA"/>
    <w:multiLevelType w:val="multilevel"/>
    <w:tmpl w:val="98F8DB4E"/>
    <w:lvl w:ilvl="0">
      <w:start w:val="7"/>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3"/>
    <w:lvlOverride w:ilvl="0">
      <w:startOverride w:val="1"/>
    </w:lvlOverride>
  </w:num>
  <w:num w:numId="11">
    <w:abstractNumId w:val="21"/>
  </w:num>
  <w:num w:numId="12">
    <w:abstractNumId w:val="13"/>
  </w:num>
  <w:num w:numId="13">
    <w:abstractNumId w:val="27"/>
  </w:num>
  <w:num w:numId="14">
    <w:abstractNumId w:val="15"/>
  </w:num>
  <w:num w:numId="15">
    <w:abstractNumId w:val="25"/>
  </w:num>
  <w:num w:numId="16">
    <w:abstractNumId w:val="23"/>
  </w:num>
  <w:num w:numId="17">
    <w:abstractNumId w:val="1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7"/>
  </w:num>
  <w:num w:numId="30">
    <w:abstractNumId w:val="2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83BC1"/>
    <w:rsid w:val="000A2019"/>
    <w:rsid w:val="000B37FA"/>
    <w:rsid w:val="00102082"/>
    <w:rsid w:val="00121DC6"/>
    <w:rsid w:val="001331FD"/>
    <w:rsid w:val="00134465"/>
    <w:rsid w:val="00136788"/>
    <w:rsid w:val="00144ABD"/>
    <w:rsid w:val="0016679D"/>
    <w:rsid w:val="0018675A"/>
    <w:rsid w:val="001F3DCB"/>
    <w:rsid w:val="00231BF7"/>
    <w:rsid w:val="00236F86"/>
    <w:rsid w:val="002676D8"/>
    <w:rsid w:val="00291E42"/>
    <w:rsid w:val="002A0CF5"/>
    <w:rsid w:val="002B2F5D"/>
    <w:rsid w:val="002B54C3"/>
    <w:rsid w:val="002F027B"/>
    <w:rsid w:val="003102DA"/>
    <w:rsid w:val="0034671D"/>
    <w:rsid w:val="003702DE"/>
    <w:rsid w:val="003755B0"/>
    <w:rsid w:val="003A36DF"/>
    <w:rsid w:val="003B7978"/>
    <w:rsid w:val="00443518"/>
    <w:rsid w:val="004D3A61"/>
    <w:rsid w:val="004E529F"/>
    <w:rsid w:val="004F2571"/>
    <w:rsid w:val="00521B59"/>
    <w:rsid w:val="00521D9D"/>
    <w:rsid w:val="00550F08"/>
    <w:rsid w:val="00586D5F"/>
    <w:rsid w:val="005A6B82"/>
    <w:rsid w:val="005D1944"/>
    <w:rsid w:val="005D64E9"/>
    <w:rsid w:val="00602906"/>
    <w:rsid w:val="00612975"/>
    <w:rsid w:val="00623592"/>
    <w:rsid w:val="0062472C"/>
    <w:rsid w:val="006E7965"/>
    <w:rsid w:val="00701D20"/>
    <w:rsid w:val="007211E4"/>
    <w:rsid w:val="007647D9"/>
    <w:rsid w:val="007A32FA"/>
    <w:rsid w:val="007D29AE"/>
    <w:rsid w:val="00833FB5"/>
    <w:rsid w:val="00902AEE"/>
    <w:rsid w:val="009136A0"/>
    <w:rsid w:val="009337A7"/>
    <w:rsid w:val="009A0613"/>
    <w:rsid w:val="009B1D8F"/>
    <w:rsid w:val="009C4662"/>
    <w:rsid w:val="009E138F"/>
    <w:rsid w:val="00A074ED"/>
    <w:rsid w:val="00A07EF0"/>
    <w:rsid w:val="00A1635C"/>
    <w:rsid w:val="00A16404"/>
    <w:rsid w:val="00A6609B"/>
    <w:rsid w:val="00A85F1F"/>
    <w:rsid w:val="00AB2438"/>
    <w:rsid w:val="00AB351E"/>
    <w:rsid w:val="00AC3ADB"/>
    <w:rsid w:val="00AC42E2"/>
    <w:rsid w:val="00AF215D"/>
    <w:rsid w:val="00AF5E02"/>
    <w:rsid w:val="00B26D3D"/>
    <w:rsid w:val="00B30829"/>
    <w:rsid w:val="00B53DCB"/>
    <w:rsid w:val="00BB06DB"/>
    <w:rsid w:val="00BC5DEC"/>
    <w:rsid w:val="00C11C07"/>
    <w:rsid w:val="00C160EC"/>
    <w:rsid w:val="00C20E61"/>
    <w:rsid w:val="00C5626A"/>
    <w:rsid w:val="00C76A29"/>
    <w:rsid w:val="00D407F6"/>
    <w:rsid w:val="00D638A1"/>
    <w:rsid w:val="00DA50CF"/>
    <w:rsid w:val="00DC12F6"/>
    <w:rsid w:val="00DD17D2"/>
    <w:rsid w:val="00E02D41"/>
    <w:rsid w:val="00E05D8E"/>
    <w:rsid w:val="00E20D28"/>
    <w:rsid w:val="00E33250"/>
    <w:rsid w:val="00E4347A"/>
    <w:rsid w:val="00E735AD"/>
    <w:rsid w:val="00E856B3"/>
    <w:rsid w:val="00EB0669"/>
    <w:rsid w:val="00EB7CFB"/>
    <w:rsid w:val="00EB7EF7"/>
    <w:rsid w:val="00F2227A"/>
    <w:rsid w:val="00F31655"/>
    <w:rsid w:val="00F5790B"/>
    <w:rsid w:val="00F90BF8"/>
    <w:rsid w:val="00F97071"/>
    <w:rsid w:val="00FA0E76"/>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EED4-C784-467D-A5A6-8F23528F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1439</Words>
  <Characters>7919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2017-04-17T17:13:00Z</dcterms:created>
  <dcterms:modified xsi:type="dcterms:W3CDTF">2017-04-18T21:45:00Z</dcterms:modified>
</cp:coreProperties>
</file>