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4B03D1C1" w:rsidR="003A45FC" w:rsidRPr="00B9437B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831A25">
        <w:rPr>
          <w:rFonts w:ascii="Arial" w:hAnsi="Arial" w:cs="Arial"/>
          <w:color w:val="000000"/>
          <w:sz w:val="22"/>
          <w:szCs w:val="22"/>
        </w:rPr>
        <w:t>INSTITUTO NACIONAL DE APRENDIZAJE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2953F5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2953F5">
        <w:rPr>
          <w:rFonts w:cs="Arial"/>
          <w:b/>
          <w:bCs/>
        </w:rPr>
        <w:t>ÁREA DE IDENTIFICACIÓN</w:t>
      </w:r>
    </w:p>
    <w:p w14:paraId="1397B89A" w14:textId="77777777" w:rsidR="003A45FC" w:rsidRPr="002953F5" w:rsidRDefault="003A45FC" w:rsidP="003A45FC">
      <w:pPr>
        <w:jc w:val="both"/>
        <w:rPr>
          <w:rFonts w:cs="Arial"/>
        </w:rPr>
      </w:pPr>
    </w:p>
    <w:p w14:paraId="73DA2130" w14:textId="513E5846" w:rsidR="003A45FC" w:rsidRPr="002953F5" w:rsidRDefault="003A45FC" w:rsidP="00EB4BBC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2953F5">
        <w:rPr>
          <w:rFonts w:cs="Arial"/>
          <w:b/>
          <w:bCs/>
        </w:rPr>
        <w:t xml:space="preserve">CÓDIGO DE REFERENCIA: </w:t>
      </w:r>
      <w:r w:rsidRPr="002953F5">
        <w:rPr>
          <w:rFonts w:cs="Arial"/>
        </w:rPr>
        <w:t>CR-AN-AH-</w:t>
      </w:r>
      <w:r w:rsidR="00B700FA" w:rsidRPr="002953F5">
        <w:rPr>
          <w:rFonts w:cs="Arial"/>
        </w:rPr>
        <w:t>INA</w:t>
      </w:r>
      <w:r w:rsidR="00B84364" w:rsidRPr="002953F5">
        <w:rPr>
          <w:rFonts w:cs="Arial"/>
        </w:rPr>
        <w:t>-</w:t>
      </w:r>
      <w:r w:rsidR="007222BC" w:rsidRPr="002953F5">
        <w:rPr>
          <w:rFonts w:cs="Arial"/>
        </w:rPr>
        <w:t>000001</w:t>
      </w:r>
      <w:r w:rsidR="002953F5" w:rsidRPr="002953F5">
        <w:rPr>
          <w:rFonts w:cs="Arial"/>
        </w:rPr>
        <w:t>-000722</w:t>
      </w:r>
    </w:p>
    <w:p w14:paraId="384C0FE8" w14:textId="77777777" w:rsidR="00AC7F06" w:rsidRPr="000E633D" w:rsidRDefault="00AC7F06" w:rsidP="00AC7F06">
      <w:pPr>
        <w:jc w:val="both"/>
        <w:rPr>
          <w:rFonts w:cs="Arial"/>
        </w:rPr>
      </w:pPr>
    </w:p>
    <w:p w14:paraId="0ED84D1F" w14:textId="466EA2C5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D06BC8">
        <w:rPr>
          <w:rFonts w:cs="Arial"/>
          <w:bCs/>
        </w:rPr>
        <w:t>instituto Nacional de Aprendizaje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44DB0871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>FECHAS (S</w:t>
      </w:r>
      <w:r w:rsidRPr="000F688B">
        <w:rPr>
          <w:rFonts w:cs="Arial"/>
          <w:b/>
          <w:bCs/>
        </w:rPr>
        <w:t xml:space="preserve">): </w:t>
      </w:r>
      <w:r w:rsidR="0091406B" w:rsidRPr="000F688B">
        <w:rPr>
          <w:rFonts w:cs="Arial"/>
          <w:bCs/>
        </w:rPr>
        <w:t>19</w:t>
      </w:r>
      <w:r w:rsidR="00DF6355" w:rsidRPr="000F688B">
        <w:rPr>
          <w:rFonts w:cs="Arial"/>
          <w:bCs/>
        </w:rPr>
        <w:t>66-</w:t>
      </w:r>
      <w:r w:rsidR="000F688B" w:rsidRPr="000F688B">
        <w:rPr>
          <w:rFonts w:cs="Arial"/>
          <w:bCs/>
        </w:rPr>
        <w:t>2000</w:t>
      </w:r>
    </w:p>
    <w:p w14:paraId="4F982CCE" w14:textId="432E29D6" w:rsidR="003A45FC" w:rsidRPr="003A45FC" w:rsidRDefault="00E622AA" w:rsidP="003A45FC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71A52">
        <w:rPr>
          <w:rFonts w:cs="Arial"/>
        </w:rPr>
        <w:t xml:space="preserve">    </w:t>
      </w: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17F197AC" w:rsidR="003A45FC" w:rsidRPr="007A325C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540B87" w:rsidRPr="00540B87">
        <w:rPr>
          <w:rFonts w:cs="Arial"/>
        </w:rPr>
        <w:t>19</w:t>
      </w:r>
      <w:r w:rsidR="00EA4743" w:rsidRPr="00540B87">
        <w:rPr>
          <w:rFonts w:cs="Arial"/>
        </w:rPr>
        <w:t xml:space="preserve"> m</w:t>
      </w:r>
      <w:r w:rsidR="00EA4743" w:rsidRPr="00FE7C6E">
        <w:rPr>
          <w:rFonts w:cs="Arial"/>
        </w:rPr>
        <w:t>. (</w:t>
      </w:r>
      <w:r w:rsidR="00FE7C6E" w:rsidRPr="00FE7C6E">
        <w:rPr>
          <w:rFonts w:cs="Arial"/>
        </w:rPr>
        <w:t>41</w:t>
      </w:r>
      <w:r w:rsidR="00EA4743" w:rsidRPr="00FE7C6E">
        <w:rPr>
          <w:rFonts w:cs="Arial"/>
        </w:rPr>
        <w:t xml:space="preserve"> cajas =</w:t>
      </w:r>
      <w:r w:rsidR="00EA4743" w:rsidRPr="007A325C">
        <w:rPr>
          <w:rFonts w:cs="Arial"/>
        </w:rPr>
        <w:t xml:space="preserve"> </w:t>
      </w:r>
      <w:r w:rsidR="000F688B" w:rsidRPr="007A325C">
        <w:rPr>
          <w:rFonts w:cs="Arial"/>
        </w:rPr>
        <w:t>722</w:t>
      </w:r>
      <w:r w:rsidR="00EA4743" w:rsidRPr="007A325C">
        <w:rPr>
          <w:rFonts w:cs="Arial"/>
        </w:rPr>
        <w:t xml:space="preserve"> unidades documentales)</w:t>
      </w:r>
    </w:p>
    <w:p w14:paraId="03E73D70" w14:textId="77777777" w:rsidR="007F3278" w:rsidRPr="00540B87" w:rsidRDefault="007F3278" w:rsidP="007F3278">
      <w:pPr>
        <w:pStyle w:val="Prrafodelista"/>
        <w:rPr>
          <w:rFonts w:cs="Arial"/>
          <w:lang w:val="es-CR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706F5BEB" w14:textId="3FB0653B" w:rsidR="003C79CC" w:rsidRPr="00F42619" w:rsidRDefault="003A45FC" w:rsidP="0089026C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F42619">
        <w:rPr>
          <w:rFonts w:cs="Arial"/>
          <w:b/>
          <w:bCs/>
        </w:rPr>
        <w:t xml:space="preserve">NOMBRE DEL O DE LOS PRODUCTOR (ES) / COLECCIONISTA (S): </w:t>
      </w:r>
      <w:r w:rsidR="00F42619" w:rsidRPr="00F42619">
        <w:rPr>
          <w:rFonts w:cs="Arial"/>
          <w:bCs/>
        </w:rPr>
        <w:t>Instituto Nacional de Aprendizaje</w:t>
      </w:r>
      <w:r w:rsidR="00F42619">
        <w:rPr>
          <w:rFonts w:cs="Arial"/>
          <w:bCs/>
        </w:rPr>
        <w:t>, INA</w:t>
      </w:r>
    </w:p>
    <w:p w14:paraId="402C962A" w14:textId="77777777" w:rsidR="00F42619" w:rsidRPr="00F42619" w:rsidRDefault="00F42619" w:rsidP="00FB6B45">
      <w:pPr>
        <w:jc w:val="both"/>
        <w:rPr>
          <w:rFonts w:cs="Arial"/>
        </w:rPr>
      </w:pPr>
    </w:p>
    <w:p w14:paraId="19552DA1" w14:textId="4C6E553B" w:rsidR="006402FE" w:rsidRDefault="007D5E55" w:rsidP="005052ED">
      <w:pPr>
        <w:pStyle w:val="NormalWeb"/>
        <w:spacing w:before="0" w:after="0"/>
        <w:jc w:val="both"/>
        <w:rPr>
          <w:rFonts w:cs="Arial"/>
        </w:rPr>
      </w:pPr>
      <w:r>
        <w:rPr>
          <w:rFonts w:cs="Arial"/>
          <w:b/>
          <w:bCs/>
        </w:rPr>
        <w:t xml:space="preserve">2.2 </w:t>
      </w:r>
      <w:r w:rsidR="003A45FC" w:rsidRPr="003A45FC">
        <w:rPr>
          <w:rFonts w:cs="Arial"/>
          <w:b/>
          <w:bCs/>
        </w:rPr>
        <w:t xml:space="preserve">HISTORIA INSTITUCIONAL / RESEÑA BIOGRÁFICA: </w:t>
      </w:r>
      <w:r w:rsidR="00FF7740" w:rsidRPr="00857672">
        <w:rPr>
          <w:rFonts w:ascii="Arial" w:eastAsia="Times New Roman" w:hAnsi="Arial" w:cs="Arial"/>
          <w:sz w:val="22"/>
          <w:szCs w:val="22"/>
          <w:lang w:val="es-CR" w:eastAsia="es-ES"/>
        </w:rPr>
        <w:t xml:space="preserve">El Instituto Nacional de Aprendizaje (INA) es una entidad autónoma creada por la </w:t>
      </w:r>
      <w:r w:rsidR="007F108A" w:rsidRPr="00857672">
        <w:rPr>
          <w:rFonts w:ascii="Arial" w:eastAsia="Times New Roman" w:hAnsi="Arial" w:cs="Arial"/>
          <w:sz w:val="22"/>
          <w:szCs w:val="22"/>
          <w:lang w:val="es-CR" w:eastAsia="es-ES"/>
        </w:rPr>
        <w:t>Le</w:t>
      </w:r>
      <w:r w:rsidR="00FF7740" w:rsidRPr="00857672">
        <w:rPr>
          <w:rFonts w:ascii="Arial" w:eastAsia="Times New Roman" w:hAnsi="Arial" w:cs="Arial"/>
          <w:sz w:val="22"/>
          <w:szCs w:val="22"/>
          <w:lang w:val="es-CR" w:eastAsia="es-ES"/>
        </w:rPr>
        <w:t>y Nº 3506 del 21 de mayo de 1965,</w:t>
      </w:r>
      <w:r w:rsidR="00E96A09">
        <w:rPr>
          <w:rFonts w:ascii="Arial" w:eastAsia="Times New Roman" w:hAnsi="Arial" w:cs="Arial"/>
          <w:sz w:val="22"/>
          <w:szCs w:val="22"/>
          <w:lang w:val="es-CR" w:eastAsia="es-ES"/>
        </w:rPr>
        <w:t xml:space="preserve"> </w:t>
      </w:r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>durante el gobierno de</w:t>
      </w:r>
      <w:r w:rsidR="000B03F3">
        <w:rPr>
          <w:rFonts w:ascii="Arial" w:eastAsia="Times New Roman" w:hAnsi="Arial" w:cs="Arial"/>
          <w:sz w:val="22"/>
          <w:szCs w:val="22"/>
          <w:lang w:val="es-CR" w:eastAsia="es-ES"/>
        </w:rPr>
        <w:t>l presidente</w:t>
      </w:r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 xml:space="preserve"> Francisco J. </w:t>
      </w:r>
      <w:proofErr w:type="spellStart"/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>Orlich</w:t>
      </w:r>
      <w:proofErr w:type="spellEnd"/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 xml:space="preserve">, </w:t>
      </w:r>
      <w:r w:rsidR="00EE0B5F">
        <w:rPr>
          <w:rFonts w:ascii="Arial" w:eastAsia="Times New Roman" w:hAnsi="Arial" w:cs="Arial"/>
          <w:sz w:val="22"/>
          <w:szCs w:val="22"/>
          <w:lang w:val="es-CR" w:eastAsia="es-ES"/>
        </w:rPr>
        <w:t xml:space="preserve">siendo </w:t>
      </w:r>
      <w:r w:rsidR="000B03F3">
        <w:rPr>
          <w:rFonts w:ascii="Arial" w:eastAsia="Times New Roman" w:hAnsi="Arial" w:cs="Arial"/>
          <w:sz w:val="22"/>
          <w:szCs w:val="22"/>
          <w:lang w:val="es-CR" w:eastAsia="es-ES"/>
        </w:rPr>
        <w:t>el</w:t>
      </w:r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 xml:space="preserve"> ministro de Trabajo </w:t>
      </w:r>
      <w:r w:rsidR="00EE0B5F">
        <w:rPr>
          <w:rFonts w:ascii="Arial" w:eastAsia="Times New Roman" w:hAnsi="Arial" w:cs="Arial"/>
          <w:sz w:val="22"/>
          <w:szCs w:val="22"/>
          <w:lang w:val="es-CR" w:eastAsia="es-ES"/>
        </w:rPr>
        <w:t xml:space="preserve">el señor </w:t>
      </w:r>
      <w:r w:rsidR="00B716BC" w:rsidRPr="00E96A09">
        <w:rPr>
          <w:rFonts w:ascii="Arial" w:eastAsia="Times New Roman" w:hAnsi="Arial" w:cs="Arial"/>
          <w:sz w:val="22"/>
          <w:szCs w:val="22"/>
          <w:lang w:val="es-CR" w:eastAsia="es-ES"/>
        </w:rPr>
        <w:t>Alfonso Carro</w:t>
      </w:r>
      <w:r w:rsidR="00E96A09" w:rsidRPr="00E96A09">
        <w:rPr>
          <w:rFonts w:ascii="Arial" w:eastAsia="Times New Roman" w:hAnsi="Arial" w:cs="Arial"/>
          <w:sz w:val="22"/>
          <w:szCs w:val="22"/>
          <w:lang w:val="es-CR" w:eastAsia="es-ES"/>
        </w:rPr>
        <w:t xml:space="preserve">, </w:t>
      </w:r>
      <w:r w:rsidR="00596643">
        <w:rPr>
          <w:rFonts w:ascii="Arial" w:eastAsia="Times New Roman" w:hAnsi="Arial" w:cs="Arial"/>
          <w:sz w:val="22"/>
          <w:szCs w:val="22"/>
          <w:lang w:val="es-CR" w:eastAsia="es-ES"/>
        </w:rPr>
        <w:t xml:space="preserve">y </w:t>
      </w:r>
      <w:r w:rsidR="00FF7740" w:rsidRPr="00857672">
        <w:rPr>
          <w:rFonts w:ascii="Arial" w:eastAsia="Times New Roman" w:hAnsi="Arial" w:cs="Arial"/>
          <w:sz w:val="22"/>
          <w:szCs w:val="22"/>
          <w:lang w:val="es-CR" w:eastAsia="es-ES"/>
        </w:rPr>
        <w:t>reformada por su Ley Orgánica Nº 6868 del 6 de mayo de 1983. Su principal tarea es promover y desarrollar la capacitación y formación profesional de las personas en todos los sectores de la producción, para impulsar el desarrollo económico y contribuir al mejoramiento de las condiciones de vida y de trabajo de la población, mediante acciones de formación, capacitación, certificación y acreditación para el trabajo productivo, sostenible, equitativo, de alta calidad y competitividad.​</w:t>
      </w:r>
      <w:r w:rsidR="00EE0B5F">
        <w:rPr>
          <w:rFonts w:ascii="Arial" w:eastAsia="Times New Roman" w:hAnsi="Arial" w:cs="Arial"/>
          <w:sz w:val="22"/>
          <w:szCs w:val="22"/>
          <w:lang w:val="es-CR" w:eastAsia="es-ES"/>
        </w:rPr>
        <w:t xml:space="preserve"> </w:t>
      </w:r>
      <w:r w:rsidR="00C44DF7">
        <w:rPr>
          <w:rFonts w:ascii="Arial" w:eastAsia="Times New Roman" w:hAnsi="Arial" w:cs="Arial"/>
          <w:sz w:val="22"/>
          <w:szCs w:val="22"/>
          <w:lang w:val="es-CR" w:eastAsia="es-ES"/>
        </w:rPr>
        <w:t>Tiene el propósito además de</w:t>
      </w:r>
      <w:r w:rsidR="00C44DF7" w:rsidRPr="00C44DF7">
        <w:rPr>
          <w:rFonts w:ascii="Arial" w:eastAsia="Times New Roman" w:hAnsi="Arial" w:cs="Arial"/>
          <w:sz w:val="22"/>
          <w:szCs w:val="22"/>
          <w:lang w:val="es-CR" w:eastAsia="es-ES"/>
        </w:rPr>
        <w:t xml:space="preserve"> que la población costarricense de escasos recursos tenga acceso a una educación vocacional dirigida al desarrollo de los campos de trabajo donde el país necesita mayor estímulo</w:t>
      </w:r>
      <w:r w:rsidR="00271D66">
        <w:rPr>
          <w:rFonts w:ascii="Arial" w:eastAsia="Times New Roman" w:hAnsi="Arial" w:cs="Arial"/>
          <w:sz w:val="22"/>
          <w:szCs w:val="22"/>
          <w:lang w:val="es-CR" w:eastAsia="es-ES"/>
        </w:rPr>
        <w:t>.</w:t>
      </w:r>
    </w:p>
    <w:p w14:paraId="4937234E" w14:textId="77777777" w:rsidR="006402FE" w:rsidRDefault="006402FE" w:rsidP="006402FE">
      <w:pPr>
        <w:shd w:val="clear" w:color="auto" w:fill="FFFFFF" w:themeFill="background1"/>
        <w:jc w:val="both"/>
        <w:rPr>
          <w:rFonts w:cs="Arial"/>
        </w:rPr>
      </w:pPr>
    </w:p>
    <w:p w14:paraId="6A44B9D0" w14:textId="6D3BC503" w:rsidR="005E3EF8" w:rsidRPr="00405DF5" w:rsidRDefault="003E0B28" w:rsidP="005E3EF8">
      <w:pPr>
        <w:jc w:val="both"/>
        <w:rPr>
          <w:rFonts w:cs="Arial"/>
          <w:bCs/>
          <w:color w:val="FF0000"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6A00CC">
        <w:rPr>
          <w:rFonts w:cs="Arial"/>
        </w:rPr>
        <w:t>Los documentos fueron custodiados por el Instituto Nacional de Aprendizaje hasta su traslado al Archivo Nacional.</w:t>
      </w:r>
      <w:r w:rsidR="009C1C52">
        <w:rPr>
          <w:rFonts w:cs="Arial"/>
        </w:rPr>
        <w:t xml:space="preserve"> Han ingresado al Departamento Archivo Histórico mediante varias transferencias</w:t>
      </w:r>
      <w:r w:rsidR="00287661">
        <w:rPr>
          <w:rFonts w:cs="Arial"/>
        </w:rPr>
        <w:t>.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08F1D745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</w:t>
      </w:r>
      <w:r w:rsidR="00FB6B45">
        <w:rPr>
          <w:rFonts w:cs="Arial"/>
          <w:bCs/>
        </w:rPr>
        <w:t>Transferencia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7AC0CAE9" w14:textId="2E2F065E" w:rsidR="00883415" w:rsidRPr="008B507D" w:rsidRDefault="00616A88" w:rsidP="0033294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</w:rPr>
        <w:t xml:space="preserve">3.1 </w:t>
      </w:r>
      <w:r w:rsidR="003A45FC" w:rsidRPr="003A45FC">
        <w:rPr>
          <w:rFonts w:cs="Arial"/>
          <w:b/>
          <w:bCs/>
        </w:rPr>
        <w:t xml:space="preserve">ALCANCE Y CONTENIDO: </w:t>
      </w:r>
      <w:r w:rsidR="0012687D" w:rsidRPr="00332946">
        <w:rPr>
          <w:rFonts w:cs="Arial"/>
          <w:bCs/>
        </w:rPr>
        <w:t>El fondo contiene</w:t>
      </w:r>
      <w:r w:rsidR="00025F2D" w:rsidRPr="00332946">
        <w:rPr>
          <w:rFonts w:cs="Arial"/>
          <w:bCs/>
        </w:rPr>
        <w:t xml:space="preserve"> correspondencia, exenciones, licitaciones, cotizaciones, auditorajes, convenios, programas, planes, proyectos, pólizas</w:t>
      </w:r>
      <w:r w:rsidR="00E2418E" w:rsidRPr="00332946">
        <w:rPr>
          <w:rFonts w:cs="Arial"/>
          <w:bCs/>
        </w:rPr>
        <w:t xml:space="preserve">, certificaciones, </w:t>
      </w:r>
      <w:r w:rsidR="001C5822" w:rsidRPr="00332946">
        <w:rPr>
          <w:rFonts w:cs="Arial"/>
          <w:bCs/>
        </w:rPr>
        <w:t xml:space="preserve">libros contables, concursos, </w:t>
      </w:r>
      <w:r w:rsidR="009946FF" w:rsidRPr="00332946">
        <w:rPr>
          <w:rFonts w:cs="Arial"/>
          <w:bCs/>
        </w:rPr>
        <w:t xml:space="preserve">solicitudes, </w:t>
      </w:r>
      <w:r w:rsidR="006C49AF" w:rsidRPr="00332946">
        <w:rPr>
          <w:rFonts w:cs="Arial"/>
          <w:bCs/>
        </w:rPr>
        <w:t xml:space="preserve">recomendaciones, copiadores de correspondencia, copiadores de notas, </w:t>
      </w:r>
      <w:r w:rsidR="00025F2D" w:rsidRPr="00332946">
        <w:rPr>
          <w:rFonts w:cs="Arial"/>
          <w:bCs/>
        </w:rPr>
        <w:t>informes y evaluaciones.</w:t>
      </w:r>
      <w:r w:rsidR="00025F2D" w:rsidRPr="00332946">
        <w:rPr>
          <w:rFonts w:cs="Arial"/>
        </w:rPr>
        <w:t xml:space="preserve"> </w:t>
      </w:r>
    </w:p>
    <w:p w14:paraId="1EE6FC84" w14:textId="467A12C6" w:rsidR="00F10106" w:rsidRPr="000078A3" w:rsidRDefault="003A45FC" w:rsidP="001C29B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078A3">
        <w:rPr>
          <w:rFonts w:ascii="Arial" w:hAnsi="Arial" w:cs="Arial"/>
          <w:b/>
          <w:bCs/>
          <w:sz w:val="22"/>
          <w:szCs w:val="22"/>
          <w:lang w:val="es-CR"/>
        </w:rPr>
        <w:lastRenderedPageBreak/>
        <w:t>VALORACIÓN, SELECCIÓN Y ELIMINACIÓN</w:t>
      </w:r>
      <w:r w:rsidRPr="000078A3">
        <w:rPr>
          <w:rFonts w:ascii="Arial" w:hAnsi="Arial" w:cs="Arial"/>
          <w:b/>
          <w:bCs/>
          <w:sz w:val="22"/>
          <w:szCs w:val="22"/>
        </w:rPr>
        <w:t>:</w:t>
      </w:r>
      <w:r w:rsidR="00A841F1" w:rsidRPr="000078A3">
        <w:rPr>
          <w:rFonts w:ascii="Arial" w:hAnsi="Arial" w:cs="Arial"/>
          <w:b/>
          <w:bCs/>
          <w:sz w:val="22"/>
          <w:szCs w:val="22"/>
        </w:rPr>
        <w:t xml:space="preserve"> </w:t>
      </w:r>
      <w:r w:rsidR="00B81F9B" w:rsidRPr="000078A3">
        <w:rPr>
          <w:rFonts w:ascii="Arial" w:hAnsi="Arial" w:cs="Arial"/>
          <w:bCs/>
          <w:sz w:val="22"/>
          <w:szCs w:val="22"/>
        </w:rPr>
        <w:t>Valor científico y cultural, y conservación p</w:t>
      </w:r>
      <w:r w:rsidR="00B81F9B" w:rsidRPr="000078A3">
        <w:rPr>
          <w:rFonts w:ascii="Arial" w:hAnsi="Arial" w:cs="Arial"/>
          <w:sz w:val="22"/>
          <w:szCs w:val="22"/>
        </w:rPr>
        <w:t xml:space="preserve">ermanente, </w:t>
      </w:r>
      <w:r w:rsidR="00B81F9B" w:rsidRPr="000078A3">
        <w:rPr>
          <w:rFonts w:ascii="Arial" w:hAnsi="Arial" w:cs="Arial"/>
          <w:bCs/>
          <w:sz w:val="22"/>
          <w:szCs w:val="22"/>
        </w:rPr>
        <w:t>valorada de conformidad con la Ley 7202 del 24 de octubre de 1990</w:t>
      </w:r>
      <w:r w:rsidR="00B81F9B" w:rsidRPr="000078A3">
        <w:rPr>
          <w:rFonts w:ascii="Arial" w:hAnsi="Arial" w:cs="Arial"/>
          <w:sz w:val="22"/>
          <w:szCs w:val="22"/>
        </w:rPr>
        <w:t xml:space="preserve">.  </w:t>
      </w:r>
    </w:p>
    <w:p w14:paraId="1A54CA3A" w14:textId="77777777" w:rsidR="000C70F7" w:rsidRPr="000078A3" w:rsidRDefault="000C70F7" w:rsidP="000C70F7">
      <w:pPr>
        <w:jc w:val="both"/>
        <w:rPr>
          <w:rFonts w:cs="Arial"/>
        </w:rPr>
      </w:pPr>
    </w:p>
    <w:p w14:paraId="4CF6FAD5" w14:textId="1B734244" w:rsidR="003A45FC" w:rsidRPr="000078A3" w:rsidRDefault="003A45FC" w:rsidP="000078A3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0078A3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Pr="000078A3">
        <w:rPr>
          <w:rFonts w:ascii="Arial" w:hAnsi="Arial" w:cs="Arial"/>
          <w:bCs/>
          <w:sz w:val="22"/>
          <w:szCs w:val="22"/>
        </w:rPr>
        <w:t xml:space="preserve">Fondo </w:t>
      </w:r>
      <w:r w:rsidR="008B507D" w:rsidRPr="000078A3">
        <w:rPr>
          <w:rFonts w:ascii="Arial" w:hAnsi="Arial" w:cs="Arial"/>
          <w:bCs/>
          <w:sz w:val="22"/>
          <w:szCs w:val="22"/>
        </w:rPr>
        <w:t>abierto</w:t>
      </w:r>
    </w:p>
    <w:p w14:paraId="3A019918" w14:textId="77777777" w:rsidR="003A45FC" w:rsidRPr="000078A3" w:rsidRDefault="003A45FC" w:rsidP="003A45FC">
      <w:pPr>
        <w:jc w:val="both"/>
        <w:rPr>
          <w:rFonts w:cs="Arial"/>
        </w:rPr>
      </w:pPr>
    </w:p>
    <w:p w14:paraId="6A5AEDC8" w14:textId="77777777" w:rsidR="003A45FC" w:rsidRPr="000078A3" w:rsidRDefault="003A45FC" w:rsidP="000078A3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0078A3">
        <w:rPr>
          <w:rFonts w:cs="Arial"/>
          <w:b/>
          <w:bCs/>
        </w:rPr>
        <w:t>ORGANIZACIÓN:</w:t>
      </w:r>
      <w:r w:rsidRPr="000078A3">
        <w:rPr>
          <w:rFonts w:cs="Arial"/>
        </w:rPr>
        <w:t xml:space="preserve"> </w:t>
      </w:r>
    </w:p>
    <w:p w14:paraId="6EA40BD1" w14:textId="77777777" w:rsidR="00A07AD1" w:rsidRPr="000078A3" w:rsidRDefault="00A07AD1" w:rsidP="00A07AD1">
      <w:pPr>
        <w:pStyle w:val="Prrafodelista"/>
        <w:rPr>
          <w:rFonts w:asciiTheme="majorHAnsi" w:hAnsiTheme="majorHAnsi" w:cstheme="majorHAnsi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6F06EE61" w:rsidR="003A45FC" w:rsidRPr="003E2173" w:rsidRDefault="003A45FC" w:rsidP="003A45FC">
      <w:pPr>
        <w:spacing w:line="276" w:lineRule="auto"/>
        <w:jc w:val="center"/>
        <w:rPr>
          <w:rFonts w:cs="Arial"/>
          <w:b/>
        </w:rPr>
      </w:pPr>
      <w:r w:rsidRPr="003E2173">
        <w:rPr>
          <w:rFonts w:cs="Arial"/>
          <w:b/>
        </w:rPr>
        <w:t xml:space="preserve">FONDOS </w:t>
      </w:r>
      <w:r w:rsidR="00F77304">
        <w:rPr>
          <w:rFonts w:cs="Arial"/>
          <w:b/>
        </w:rPr>
        <w:t>PÚBLICO</w:t>
      </w:r>
      <w:r w:rsidR="002E7D58">
        <w:rPr>
          <w:rFonts w:cs="Arial"/>
          <w:b/>
        </w:rPr>
        <w:t>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334"/>
        <w:gridCol w:w="5295"/>
      </w:tblGrid>
      <w:tr w:rsidR="00F8226C" w:rsidRPr="000C70F7" w14:paraId="57BE5CED" w14:textId="77777777" w:rsidTr="002E7D58">
        <w:trPr>
          <w:trHeight w:val="193"/>
          <w:jc w:val="center"/>
        </w:trPr>
        <w:tc>
          <w:tcPr>
            <w:tcW w:w="3334" w:type="dxa"/>
          </w:tcPr>
          <w:p w14:paraId="2C1225F1" w14:textId="77777777" w:rsidR="00F8226C" w:rsidRPr="00CE3E20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5295" w:type="dxa"/>
          </w:tcPr>
          <w:p w14:paraId="4F4651D6" w14:textId="0EF597B5" w:rsidR="00F8226C" w:rsidRPr="00CE3E20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SERIE</w:t>
            </w:r>
            <w:r w:rsidR="00043593">
              <w:rPr>
                <w:rFonts w:asciiTheme="majorHAnsi" w:hAnsiTheme="majorHAnsi" w:cs="Calibri-Bold"/>
                <w:b/>
                <w:bCs/>
              </w:rPr>
              <w:t>S</w:t>
            </w:r>
          </w:p>
        </w:tc>
      </w:tr>
      <w:tr w:rsidR="00F8226C" w:rsidRPr="009F6CBC" w14:paraId="75188156" w14:textId="77777777" w:rsidTr="00287661">
        <w:trPr>
          <w:trHeight w:val="4921"/>
          <w:jc w:val="center"/>
        </w:trPr>
        <w:tc>
          <w:tcPr>
            <w:tcW w:w="3334" w:type="dxa"/>
          </w:tcPr>
          <w:p w14:paraId="3CFFD64D" w14:textId="5D4B1535" w:rsidR="00F8226C" w:rsidRPr="00043593" w:rsidRDefault="006B1C05" w:rsidP="00043593">
            <w:pPr>
              <w:autoSpaceDE w:val="0"/>
              <w:autoSpaceDN w:val="0"/>
              <w:adjustRightInd w:val="0"/>
              <w:jc w:val="center"/>
              <w:rPr>
                <w:rFonts w:cs="Arial"/>
                <w:highlight w:val="yellow"/>
              </w:rPr>
            </w:pPr>
            <w:r w:rsidRPr="00043593">
              <w:t>Instituto Nacional de Aprendizaje</w:t>
            </w:r>
            <w:r w:rsidR="00CE3E20" w:rsidRPr="00043593">
              <w:t xml:space="preserve"> (</w:t>
            </w:r>
            <w:r w:rsidRPr="00043593">
              <w:rPr>
                <w:b/>
                <w:bCs/>
              </w:rPr>
              <w:t>INA</w:t>
            </w:r>
            <w:r w:rsidR="00CE3E20" w:rsidRPr="00043593">
              <w:rPr>
                <w:b/>
                <w:bCs/>
              </w:rPr>
              <w:t>)</w:t>
            </w:r>
          </w:p>
        </w:tc>
        <w:tc>
          <w:tcPr>
            <w:tcW w:w="5295" w:type="dxa"/>
          </w:tcPr>
          <w:p w14:paraId="451D2D50" w14:textId="27F99B90" w:rsidR="005506D4" w:rsidRDefault="005506D4" w:rsidP="00966F29">
            <w:r>
              <w:t>Memorias (MEMO)</w:t>
            </w:r>
          </w:p>
          <w:p w14:paraId="666FFC53" w14:textId="1F0CB234" w:rsidR="00966F29" w:rsidRPr="00966F29" w:rsidRDefault="00966F29" w:rsidP="00966F29">
            <w:r w:rsidRPr="00966F29">
              <w:t>Correspondencia (COR)</w:t>
            </w:r>
          </w:p>
          <w:p w14:paraId="712FE7E6" w14:textId="77777777" w:rsidR="00966F29" w:rsidRPr="00966F29" w:rsidRDefault="00966F29" w:rsidP="00966F29">
            <w:r w:rsidRPr="00966F29">
              <w:t>Recomendaciones (RECOM)</w:t>
            </w:r>
          </w:p>
          <w:p w14:paraId="55E04409" w14:textId="77777777" w:rsidR="00966F29" w:rsidRPr="00966F29" w:rsidRDefault="00966F29" w:rsidP="00966F29">
            <w:r w:rsidRPr="00966F29">
              <w:t>Licitaciones públicas (LICIPUB)</w:t>
            </w:r>
          </w:p>
          <w:p w14:paraId="179EF340" w14:textId="77777777" w:rsidR="00966F29" w:rsidRPr="00966F29" w:rsidRDefault="00966F29" w:rsidP="00966F29">
            <w:r w:rsidRPr="00966F29">
              <w:t>Licitaciones privadas (LICIPRIV)</w:t>
            </w:r>
          </w:p>
          <w:p w14:paraId="47E699E5" w14:textId="77777777" w:rsidR="00966F29" w:rsidRPr="00966F29" w:rsidRDefault="00966F29" w:rsidP="00966F29">
            <w:r w:rsidRPr="00966F29">
              <w:t>Solicitudes (SO)</w:t>
            </w:r>
          </w:p>
          <w:p w14:paraId="74AAB025" w14:textId="77777777" w:rsidR="00966F29" w:rsidRPr="00966F29" w:rsidRDefault="00966F29" w:rsidP="00966F29">
            <w:r w:rsidRPr="00966F29">
              <w:t>Cotizaciones (COTIZ)</w:t>
            </w:r>
          </w:p>
          <w:p w14:paraId="53345FFF" w14:textId="77777777" w:rsidR="00966F29" w:rsidRPr="00966F29" w:rsidRDefault="00966F29" w:rsidP="00966F29">
            <w:r w:rsidRPr="00966F29">
              <w:t>Copiador (COPI)</w:t>
            </w:r>
          </w:p>
          <w:p w14:paraId="1B538A7D" w14:textId="77777777" w:rsidR="00966F29" w:rsidRPr="00966F29" w:rsidRDefault="00966F29" w:rsidP="00966F29">
            <w:r w:rsidRPr="00966F29">
              <w:t>Expedientes (EXP)</w:t>
            </w:r>
          </w:p>
          <w:p w14:paraId="6EF49082" w14:textId="4015A78D" w:rsidR="00966F29" w:rsidRPr="00966F29" w:rsidRDefault="00E3129A" w:rsidP="00966F29">
            <w:r w:rsidRPr="00966F29">
              <w:t>Proyectos (</w:t>
            </w:r>
            <w:r w:rsidR="00966F29" w:rsidRPr="00966F29">
              <w:t>PROY)</w:t>
            </w:r>
          </w:p>
          <w:p w14:paraId="0A380545" w14:textId="77777777" w:rsidR="005506D4" w:rsidRPr="005506D4" w:rsidRDefault="005506D4" w:rsidP="005506D4">
            <w:pPr>
              <w:rPr>
                <w:color w:val="FF0000"/>
              </w:rPr>
            </w:pPr>
            <w:r w:rsidRPr="005506D4">
              <w:t>Concursos (</w:t>
            </w:r>
            <w:r w:rsidRPr="005506D4">
              <w:rPr>
                <w:lang w:val="es-ES"/>
              </w:rPr>
              <w:t>CONCC</w:t>
            </w:r>
            <w:r w:rsidRPr="005506D4">
              <w:t>)</w:t>
            </w:r>
          </w:p>
          <w:p w14:paraId="63CED4B9" w14:textId="77777777" w:rsidR="00966F29" w:rsidRPr="00966F29" w:rsidRDefault="00966F29" w:rsidP="00966F29">
            <w:r w:rsidRPr="00966F29">
              <w:t>Informes (INFO)</w:t>
            </w:r>
          </w:p>
          <w:p w14:paraId="10C3B6E5" w14:textId="64FDA7A0" w:rsidR="00966F29" w:rsidRPr="00966F29" w:rsidRDefault="00E3129A" w:rsidP="00966F29">
            <w:r w:rsidRPr="00966F29">
              <w:t>Certificaciones (</w:t>
            </w:r>
            <w:r w:rsidR="00966F29" w:rsidRPr="00966F29">
              <w:t>CERT)</w:t>
            </w:r>
          </w:p>
          <w:p w14:paraId="3F4C2211" w14:textId="19574463" w:rsidR="00966F29" w:rsidRPr="00966F29" w:rsidRDefault="00E3129A" w:rsidP="00966F29">
            <w:r w:rsidRPr="00966F29">
              <w:t>Circulares (</w:t>
            </w:r>
            <w:r w:rsidR="00966F29" w:rsidRPr="00966F29">
              <w:t>CIR)</w:t>
            </w:r>
          </w:p>
          <w:p w14:paraId="66C3CCD3" w14:textId="77777777" w:rsidR="00966F29" w:rsidRPr="00966F29" w:rsidRDefault="00966F29" w:rsidP="00966F29">
            <w:r w:rsidRPr="00966F29">
              <w:t>Libros contables (LCONTA)</w:t>
            </w:r>
          </w:p>
          <w:p w14:paraId="0095B504" w14:textId="77777777" w:rsidR="00966F29" w:rsidRPr="00966F29" w:rsidRDefault="00966F29" w:rsidP="00966F29">
            <w:r w:rsidRPr="00966F29">
              <w:t>Oferta (OFER)</w:t>
            </w:r>
          </w:p>
          <w:p w14:paraId="0A4DFF52" w14:textId="77777777" w:rsidR="00966F29" w:rsidRPr="00966F29" w:rsidRDefault="00966F29" w:rsidP="00966F29">
            <w:r w:rsidRPr="00966F29">
              <w:t>Ley (LEY)</w:t>
            </w:r>
          </w:p>
          <w:p w14:paraId="6D48AE5A" w14:textId="77777777" w:rsidR="00966F29" w:rsidRPr="00966F29" w:rsidRDefault="00966F29" w:rsidP="00966F29">
            <w:r w:rsidRPr="00966F29">
              <w:t>Convenio (CONVE)</w:t>
            </w:r>
          </w:p>
          <w:p w14:paraId="097F5625" w14:textId="001A23ED" w:rsidR="00B51797" w:rsidRPr="00966F29" w:rsidRDefault="00966F29" w:rsidP="003F4015">
            <w:r w:rsidRPr="00966F29">
              <w:t>Programa (PROG)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0078A3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0078A3">
      <w:pPr>
        <w:numPr>
          <w:ilvl w:val="1"/>
          <w:numId w:val="7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433F2E17" w14:textId="5752D3BD" w:rsidR="00792397" w:rsidRPr="00667B5A" w:rsidRDefault="003A45FC" w:rsidP="000078A3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="00446B50" w:rsidRPr="00446B50">
        <w:rPr>
          <w:rFonts w:cs="Arial"/>
          <w:lang w:val="es-ES"/>
        </w:rPr>
        <w:t>Mediante digitalización, de acuerdo con el estado de conservación de los documentos, según resolución dictada por la Dirección General del Archivo Nacional DG-02-2018 del 18 de abril de 2018 y lo dispuesto en el Reglamento Ejecutivo a la Ley 7202, Decreto Ejecutivo 40554-C de 29 de junio de 2017</w:t>
      </w:r>
      <w:r w:rsidRPr="00667B5A">
        <w:rPr>
          <w:rFonts w:cs="Arial"/>
          <w:lang w:val="es-ES_tradnl"/>
        </w:rPr>
        <w:t xml:space="preserve">. </w:t>
      </w:r>
      <w:bookmarkEnd w:id="0"/>
    </w:p>
    <w:p w14:paraId="69D80A9F" w14:textId="77777777" w:rsidR="00792397" w:rsidRDefault="00792397" w:rsidP="00792397">
      <w:pPr>
        <w:pStyle w:val="Prrafodelista"/>
        <w:rPr>
          <w:rFonts w:cs="Arial"/>
          <w:b/>
          <w:bCs/>
        </w:rPr>
      </w:pPr>
    </w:p>
    <w:p w14:paraId="41F6DF07" w14:textId="26DD8AF9" w:rsidR="0095076D" w:rsidRPr="0095076D" w:rsidRDefault="0095076D" w:rsidP="0095076D">
      <w:pPr>
        <w:pStyle w:val="Prrafodelista"/>
        <w:numPr>
          <w:ilvl w:val="1"/>
          <w:numId w:val="6"/>
        </w:numPr>
        <w:jc w:val="both"/>
        <w:rPr>
          <w:rFonts w:cs="Arial"/>
          <w:b/>
          <w:bCs/>
        </w:rPr>
      </w:pPr>
      <w:r w:rsidRPr="0095076D">
        <w:rPr>
          <w:rFonts w:ascii="Arial" w:hAnsi="Arial" w:cs="Arial"/>
          <w:b/>
          <w:bCs/>
          <w:sz w:val="22"/>
          <w:szCs w:val="22"/>
          <w:lang w:val="es-CR"/>
        </w:rPr>
        <w:t>LENGUA/ESCRITURA (S) DE LOS DOCUMENTOS</w:t>
      </w:r>
      <w:r w:rsidRPr="0095076D">
        <w:rPr>
          <w:rFonts w:cs="Arial"/>
          <w:b/>
          <w:bCs/>
        </w:rPr>
        <w:t xml:space="preserve">: </w:t>
      </w:r>
      <w:r w:rsidRPr="0095076D">
        <w:rPr>
          <w:rFonts w:ascii="Arial" w:hAnsi="Arial" w:cs="Arial"/>
          <w:sz w:val="22"/>
          <w:szCs w:val="22"/>
          <w:lang w:val="es-ES_tradnl"/>
        </w:rPr>
        <w:t>español</w:t>
      </w:r>
    </w:p>
    <w:p w14:paraId="36D6E76F" w14:textId="77777777" w:rsidR="0095076D" w:rsidRDefault="0095076D" w:rsidP="0095076D">
      <w:pPr>
        <w:pStyle w:val="Prrafodelista"/>
        <w:rPr>
          <w:rFonts w:cs="Arial"/>
          <w:b/>
          <w:bCs/>
        </w:rPr>
      </w:pPr>
    </w:p>
    <w:p w14:paraId="365865EC" w14:textId="47A20175" w:rsidR="003A45FC" w:rsidRPr="00792397" w:rsidRDefault="0095076D" w:rsidP="0095076D">
      <w:pPr>
        <w:tabs>
          <w:tab w:val="num" w:pos="420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4.4 </w:t>
      </w:r>
      <w:r w:rsidR="003A45FC" w:rsidRPr="0095076D">
        <w:rPr>
          <w:rFonts w:cs="Arial"/>
          <w:b/>
          <w:bCs/>
        </w:rPr>
        <w:t>CARACTERÍSTICAS</w:t>
      </w:r>
      <w:r w:rsidR="003A45FC" w:rsidRPr="00792397">
        <w:rPr>
          <w:rFonts w:cs="Arial"/>
          <w:b/>
          <w:bCs/>
        </w:rPr>
        <w:t xml:space="preserve"> FÍSICAS Y REQUISITOS TÉCNICOS: </w:t>
      </w:r>
      <w:r w:rsidR="003A45FC" w:rsidRPr="00792397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3C40813A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0078A3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3B57058C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lastRenderedPageBreak/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925463" w:rsidRPr="00456B1C">
        <w:rPr>
          <w:rFonts w:cs="Arial"/>
          <w:lang w:val="es-ES_tradnl"/>
        </w:rPr>
        <w:t xml:space="preserve">Ministerio de Recursos Naturales, Energía y Minas, </w:t>
      </w:r>
      <w:r w:rsidR="00412E3C" w:rsidRPr="00456B1C">
        <w:rPr>
          <w:rFonts w:cs="Arial"/>
          <w:lang w:val="es-ES_tradnl"/>
        </w:rPr>
        <w:t xml:space="preserve">Ministerio de Planificación Nacional y Política Económica (MIDEPLAN), Ministerio de Trabajo y Seguridad Social (MTSS), </w:t>
      </w:r>
      <w:r w:rsidR="00D754A3" w:rsidRPr="00456B1C">
        <w:rPr>
          <w:rFonts w:cs="Arial"/>
          <w:lang w:val="es-ES_tradnl"/>
        </w:rPr>
        <w:t xml:space="preserve">Ministerio de Vivienda y Asentamientos Humanos (MIVAH), Ministerio de Relaciones Exteriores y Culto, Ministerio de Salud, </w:t>
      </w:r>
      <w:r w:rsidR="002A21DE" w:rsidRPr="00456B1C">
        <w:rPr>
          <w:rFonts w:cs="Arial"/>
          <w:lang w:val="es-ES_tradnl"/>
        </w:rPr>
        <w:t xml:space="preserve">Presidencia de la República, Ministerio de Educación Pública, Ministerio de Economía, Industria y Comercio, </w:t>
      </w:r>
      <w:r w:rsidR="009D2666" w:rsidRPr="00456B1C">
        <w:rPr>
          <w:rFonts w:cs="Arial"/>
          <w:lang w:val="es-ES_tradnl"/>
        </w:rPr>
        <w:t xml:space="preserve">Mora Valverde, Manuel, Universidad de Costa Rica, Dirección General de Presupuestos Público, </w:t>
      </w:r>
      <w:r w:rsidR="00AA13EA" w:rsidRPr="00456B1C">
        <w:rPr>
          <w:rFonts w:cs="Arial"/>
          <w:lang w:val="es-ES_tradnl"/>
        </w:rPr>
        <w:t xml:space="preserve">Ministerio de Agricultura y Ganadería, Dirección General de Estadística y Censos, Colección de Mapas y Planos, </w:t>
      </w:r>
      <w:r w:rsidR="00D437C6" w:rsidRPr="00456B1C">
        <w:rPr>
          <w:rFonts w:cs="Arial"/>
          <w:lang w:val="es-ES_tradnl"/>
        </w:rPr>
        <w:t xml:space="preserve">Bancos, </w:t>
      </w:r>
      <w:r w:rsidR="00031382" w:rsidRPr="00456B1C">
        <w:rPr>
          <w:rFonts w:cs="Arial"/>
          <w:lang w:val="es-ES_tradnl"/>
        </w:rPr>
        <w:t xml:space="preserve">Ortiz Arroyo, William, Consejo Nacional de Vialidad, </w:t>
      </w:r>
      <w:r w:rsidR="00E5167E" w:rsidRPr="00456B1C">
        <w:rPr>
          <w:rFonts w:cs="Arial"/>
          <w:lang w:val="es-ES_tradnl"/>
        </w:rPr>
        <w:t xml:space="preserve">Contraloría General de la República, </w:t>
      </w:r>
      <w:r w:rsidR="00981BA9" w:rsidRPr="00456B1C">
        <w:rPr>
          <w:rFonts w:cs="Arial"/>
          <w:lang w:val="es-ES_tradnl"/>
        </w:rPr>
        <w:t xml:space="preserve">Gilbert Córdoba, </w:t>
      </w:r>
      <w:proofErr w:type="spellStart"/>
      <w:r w:rsidR="00C02B99" w:rsidRPr="00456B1C">
        <w:rPr>
          <w:rFonts w:cs="Arial"/>
          <w:lang w:val="es-ES_tradnl"/>
        </w:rPr>
        <w:t>Northern</w:t>
      </w:r>
      <w:proofErr w:type="spellEnd"/>
      <w:r w:rsidR="00C02B99" w:rsidRPr="00456B1C">
        <w:rPr>
          <w:rFonts w:cs="Arial"/>
          <w:lang w:val="es-ES_tradnl"/>
        </w:rPr>
        <w:t xml:space="preserve"> </w:t>
      </w:r>
      <w:proofErr w:type="spellStart"/>
      <w:r w:rsidR="00C02B99" w:rsidRPr="00456B1C">
        <w:rPr>
          <w:rFonts w:cs="Arial"/>
          <w:lang w:val="es-ES_tradnl"/>
        </w:rPr>
        <w:t>Railway</w:t>
      </w:r>
      <w:proofErr w:type="spellEnd"/>
      <w:r w:rsidR="00C02B99" w:rsidRPr="00456B1C">
        <w:rPr>
          <w:rFonts w:cs="Arial"/>
          <w:lang w:val="es-ES_tradnl"/>
        </w:rPr>
        <w:t xml:space="preserve"> Company, </w:t>
      </w:r>
      <w:r w:rsidR="00925A0F" w:rsidRPr="00456B1C">
        <w:rPr>
          <w:rFonts w:cs="Arial"/>
          <w:lang w:val="es-ES_tradnl"/>
        </w:rPr>
        <w:t xml:space="preserve">Afiches, </w:t>
      </w:r>
      <w:r w:rsidR="00C12201" w:rsidRPr="00456B1C">
        <w:rPr>
          <w:rFonts w:cs="Arial"/>
          <w:lang w:val="es-ES_tradnl"/>
        </w:rPr>
        <w:t xml:space="preserve">Municipal, </w:t>
      </w:r>
      <w:r w:rsidR="00BF0F1E" w:rsidRPr="00456B1C">
        <w:rPr>
          <w:rFonts w:cs="Arial"/>
          <w:lang w:val="es-ES_tradnl"/>
        </w:rPr>
        <w:t xml:space="preserve">Allan Trigueros Vega, </w:t>
      </w:r>
      <w:r w:rsidR="00D5525C" w:rsidRPr="00456B1C">
        <w:rPr>
          <w:rFonts w:cs="Arial"/>
          <w:lang w:val="es-ES_tradnl"/>
        </w:rPr>
        <w:t xml:space="preserve">Fotografías, </w:t>
      </w:r>
      <w:r w:rsidR="009352C0" w:rsidRPr="00456B1C">
        <w:rPr>
          <w:rFonts w:cs="Arial"/>
          <w:lang w:val="es-ES_tradnl"/>
        </w:rPr>
        <w:t xml:space="preserve">Ferrocarril Eléctrico al Pacífico, </w:t>
      </w:r>
      <w:r w:rsidR="00C659C8" w:rsidRPr="00456B1C">
        <w:rPr>
          <w:rFonts w:cs="Arial"/>
          <w:lang w:val="es-ES_tradnl"/>
        </w:rPr>
        <w:t xml:space="preserve">Ferrocarril Eléctrico al Pacífico, </w:t>
      </w:r>
      <w:r w:rsidR="00B64E6F" w:rsidRPr="00456B1C">
        <w:rPr>
          <w:rFonts w:cs="Arial"/>
          <w:lang w:val="es-ES_tradnl"/>
        </w:rPr>
        <w:t>Instituto de Tierras y Colonización</w:t>
      </w:r>
      <w:r w:rsidR="00456B1C" w:rsidRPr="00456B1C">
        <w:rPr>
          <w:rFonts w:cs="Arial"/>
          <w:lang w:val="es-ES_tradnl"/>
        </w:rPr>
        <w:t xml:space="preserve"> </w:t>
      </w:r>
      <w:r w:rsidR="00446B50" w:rsidRPr="00456B1C">
        <w:rPr>
          <w:rFonts w:cs="Arial"/>
          <w:lang w:val="es-ES_tradnl"/>
        </w:rPr>
        <w:t>e</w:t>
      </w:r>
      <w:r w:rsidR="00456B1C" w:rsidRPr="00456B1C">
        <w:rPr>
          <w:rFonts w:cs="Arial"/>
          <w:lang w:val="es-ES_tradnl"/>
        </w:rPr>
        <w:t xml:space="preserve"> Instituto Costarricense de Electricidad.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571197B3" w:rsid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46181D">
        <w:rPr>
          <w:rFonts w:cs="Arial"/>
        </w:rPr>
        <w:t>Gabriela Moya Jiménez</w:t>
      </w:r>
      <w:r w:rsidR="00294497">
        <w:rPr>
          <w:rFonts w:cs="Arial"/>
        </w:rPr>
        <w:t xml:space="preserve">, </w:t>
      </w:r>
      <w:r w:rsidR="0046181D">
        <w:rPr>
          <w:rFonts w:cs="Arial"/>
        </w:rPr>
        <w:t>profesional</w:t>
      </w:r>
      <w:r w:rsidR="00294497">
        <w:rPr>
          <w:rFonts w:cs="Arial"/>
        </w:rPr>
        <w:t xml:space="preserve">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3146F9A6" w14:textId="0AE42B1A" w:rsidR="00234F83" w:rsidRPr="00792397" w:rsidRDefault="00234F83" w:rsidP="007D7F9E">
      <w:pPr>
        <w:jc w:val="both"/>
        <w:rPr>
          <w:lang w:val="es-ES"/>
        </w:rPr>
      </w:pPr>
    </w:p>
    <w:p w14:paraId="35CB2DBC" w14:textId="77777777" w:rsidR="003A45FC" w:rsidRPr="009D15C7" w:rsidRDefault="003A45FC" w:rsidP="003A45FC">
      <w:pPr>
        <w:spacing w:line="276" w:lineRule="auto"/>
        <w:jc w:val="both"/>
        <w:rPr>
          <w:rFonts w:cs="Arial"/>
          <w:b/>
        </w:rPr>
      </w:pPr>
      <w:r w:rsidRPr="009D15C7">
        <w:rPr>
          <w:rFonts w:cs="Arial"/>
          <w:b/>
        </w:rPr>
        <w:t>Documentos, Departamento Archivo Histórico:</w:t>
      </w:r>
    </w:p>
    <w:p w14:paraId="4EA664FB" w14:textId="4CC640D9" w:rsidR="003A45FC" w:rsidRPr="003A45FC" w:rsidRDefault="009D15C7" w:rsidP="003A45FC">
      <w:pPr>
        <w:spacing w:line="276" w:lineRule="auto"/>
        <w:jc w:val="both"/>
        <w:rPr>
          <w:rFonts w:cs="Arial"/>
        </w:rPr>
      </w:pPr>
      <w:r w:rsidRPr="009D15C7">
        <w:rPr>
          <w:rFonts w:cs="Arial"/>
        </w:rPr>
        <w:t>Guía de fondos, cuadro de clasificación y expedientes de transferencias</w:t>
      </w:r>
      <w:r w:rsidR="004B0148">
        <w:rPr>
          <w:rFonts w:cs="Arial"/>
        </w:rPr>
        <w:t xml:space="preserve"> del Instituto Nacional de Aprendizaje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1CA2270B" w14:textId="7DA3A45D" w:rsidR="00691A11" w:rsidRDefault="003A45FC" w:rsidP="00E70C39">
      <w:pPr>
        <w:pStyle w:val="Sinespaciado"/>
        <w:jc w:val="both"/>
        <w:rPr>
          <w:rFonts w:cs="Aria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0E6985">
        <w:rPr>
          <w:rFonts w:ascii="Arial" w:hAnsi="Arial" w:cs="Arial"/>
          <w:sz w:val="22"/>
          <w:szCs w:val="22"/>
          <w:lang w:val="es-ES_tradnl"/>
        </w:rPr>
        <w:t>4-</w:t>
      </w:r>
      <w:r w:rsidR="0022110F">
        <w:rPr>
          <w:rFonts w:ascii="Arial" w:hAnsi="Arial" w:cs="Arial"/>
          <w:sz w:val="22"/>
          <w:szCs w:val="22"/>
          <w:lang w:val="es-ES_tradnl"/>
        </w:rPr>
        <w:t>0</w:t>
      </w:r>
      <w:r w:rsidR="000E6985">
        <w:rPr>
          <w:rFonts w:ascii="Arial" w:hAnsi="Arial" w:cs="Arial"/>
          <w:sz w:val="22"/>
          <w:szCs w:val="22"/>
          <w:lang w:val="es-ES_tradnl"/>
        </w:rPr>
        <w:t>2</w:t>
      </w:r>
      <w:r w:rsidR="0022110F">
        <w:rPr>
          <w:rFonts w:ascii="Arial" w:hAnsi="Arial" w:cs="Arial"/>
          <w:sz w:val="22"/>
          <w:szCs w:val="22"/>
          <w:lang w:val="es-ES_tradnl"/>
        </w:rPr>
        <w:t>-2</w:t>
      </w:r>
      <w:r w:rsidR="0096612B">
        <w:rPr>
          <w:rFonts w:ascii="Arial" w:hAnsi="Arial" w:cs="Arial"/>
          <w:sz w:val="22"/>
          <w:szCs w:val="22"/>
          <w:lang w:val="es-ES_tradnl"/>
        </w:rPr>
        <w:t>8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4B0148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1C29B7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68614B" w:rsidRPr="001C29B7">
        <w:rPr>
          <w:rFonts w:ascii="Arial" w:hAnsi="Arial" w:cs="Arial"/>
          <w:bCs/>
          <w:sz w:val="22"/>
          <w:szCs w:val="22"/>
          <w:lang w:val="es-ES_tradnl"/>
        </w:rPr>
        <w:t>01</w:t>
      </w:r>
      <w:r w:rsidR="000C095F" w:rsidRPr="001C29B7">
        <w:rPr>
          <w:rFonts w:ascii="Arial" w:hAnsi="Arial" w:cs="Arial"/>
          <w:bCs/>
          <w:sz w:val="22"/>
          <w:szCs w:val="22"/>
          <w:lang w:val="es-ES_tradnl"/>
        </w:rPr>
        <w:t>-202</w:t>
      </w:r>
      <w:r w:rsidR="001D4183" w:rsidRPr="001C29B7">
        <w:rPr>
          <w:rFonts w:ascii="Arial" w:hAnsi="Arial" w:cs="Arial"/>
          <w:bCs/>
          <w:sz w:val="22"/>
          <w:szCs w:val="22"/>
          <w:lang w:val="es-ES_tradnl"/>
        </w:rPr>
        <w:t xml:space="preserve">4 </w:t>
      </w:r>
      <w:r w:rsidR="000C095F" w:rsidRPr="001C29B7">
        <w:rPr>
          <w:rFonts w:ascii="Arial" w:hAnsi="Arial" w:cs="Arial"/>
          <w:bCs/>
          <w:sz w:val="22"/>
          <w:szCs w:val="22"/>
          <w:lang w:val="es-ES_tradnl"/>
        </w:rPr>
        <w:t xml:space="preserve">del </w:t>
      </w:r>
      <w:r w:rsidR="00B45A45" w:rsidRPr="001C29B7">
        <w:rPr>
          <w:rFonts w:ascii="Arial" w:hAnsi="Arial" w:cs="Arial"/>
          <w:bCs/>
          <w:sz w:val="22"/>
          <w:szCs w:val="22"/>
          <w:lang w:val="es-ES_tradnl"/>
        </w:rPr>
        <w:t>12</w:t>
      </w:r>
      <w:r w:rsidR="001D4183" w:rsidRPr="001C29B7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="00B45A45" w:rsidRPr="001C29B7">
        <w:rPr>
          <w:rFonts w:ascii="Arial" w:hAnsi="Arial" w:cs="Arial"/>
          <w:bCs/>
          <w:sz w:val="22"/>
          <w:szCs w:val="22"/>
          <w:lang w:val="es-ES_tradnl"/>
        </w:rPr>
        <w:t>marzo</w:t>
      </w:r>
      <w:r w:rsidR="001D4183" w:rsidRPr="001C29B7">
        <w:rPr>
          <w:rFonts w:ascii="Arial" w:hAnsi="Arial" w:cs="Arial"/>
          <w:bCs/>
          <w:sz w:val="22"/>
          <w:szCs w:val="22"/>
          <w:lang w:val="es-ES_tradnl"/>
        </w:rPr>
        <w:t xml:space="preserve"> del</w:t>
      </w:r>
      <w:r w:rsidR="001D4183" w:rsidRPr="004B0148">
        <w:rPr>
          <w:rFonts w:ascii="Arial" w:hAnsi="Arial" w:cs="Arial"/>
          <w:bCs/>
          <w:sz w:val="22"/>
          <w:szCs w:val="22"/>
          <w:lang w:val="es-ES_tradnl"/>
        </w:rPr>
        <w:t xml:space="preserve"> 2024</w:t>
      </w:r>
    </w:p>
    <w:sectPr w:rsidR="00691A11" w:rsidSect="00F7788E">
      <w:headerReference w:type="default" r:id="rId8"/>
      <w:footerReference w:type="default" r:id="rId9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8144" w14:textId="77777777" w:rsidR="00F7788E" w:rsidRDefault="00F7788E" w:rsidP="00602906">
      <w:r>
        <w:separator/>
      </w:r>
    </w:p>
  </w:endnote>
  <w:endnote w:type="continuationSeparator" w:id="0">
    <w:p w14:paraId="06794BBD" w14:textId="77777777" w:rsidR="00F7788E" w:rsidRDefault="00F7788E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70DDA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3709DE6B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5C8AB784" w14:textId="2A3E1BCA" w:rsidR="002C695A" w:rsidRPr="009337A7" w:rsidRDefault="00656D36" w:rsidP="002C695A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BABEB" wp14:editId="15BC2644">
          <wp:simplePos x="0" y="0"/>
          <wp:positionH relativeFrom="column">
            <wp:posOffset>2932430</wp:posOffset>
          </wp:positionH>
          <wp:positionV relativeFrom="paragraph">
            <wp:posOffset>6985</wp:posOffset>
          </wp:positionV>
          <wp:extent cx="3040380" cy="457200"/>
          <wp:effectExtent l="0" t="0" r="0" b="0"/>
          <wp:wrapNone/>
          <wp:docPr id="165815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50048" name="Imagen 1658150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95A" w:rsidRPr="009337A7">
      <w:rPr>
        <w:rFonts w:ascii="Calibri" w:hAnsi="Calibri" w:cs="Arial"/>
        <w:bCs/>
        <w:sz w:val="18"/>
        <w:szCs w:val="18"/>
      </w:rPr>
      <w:t>Tel: (506) 228</w:t>
    </w:r>
    <w:r w:rsidR="002C695A"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3A38BDB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4D1E9B71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8740" w14:textId="77777777" w:rsidR="00F7788E" w:rsidRDefault="00F7788E" w:rsidP="00602906">
      <w:r>
        <w:separator/>
      </w:r>
    </w:p>
  </w:footnote>
  <w:footnote w:type="continuationSeparator" w:id="0">
    <w:p w14:paraId="14988F41" w14:textId="77777777" w:rsidR="00F7788E" w:rsidRDefault="00F7788E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1E945EC"/>
    <w:multiLevelType w:val="multilevel"/>
    <w:tmpl w:val="4F2E1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390C"/>
    <w:multiLevelType w:val="multilevel"/>
    <w:tmpl w:val="49A8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C3F45A1"/>
    <w:multiLevelType w:val="multilevel"/>
    <w:tmpl w:val="61EE6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247233254">
    <w:abstractNumId w:val="10"/>
  </w:num>
  <w:num w:numId="7" w16cid:durableId="138255916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00783"/>
    <w:rsid w:val="000078A3"/>
    <w:rsid w:val="000163F1"/>
    <w:rsid w:val="00025F2D"/>
    <w:rsid w:val="00031033"/>
    <w:rsid w:val="00031382"/>
    <w:rsid w:val="0003139E"/>
    <w:rsid w:val="000329EC"/>
    <w:rsid w:val="000335CF"/>
    <w:rsid w:val="00034F93"/>
    <w:rsid w:val="00043593"/>
    <w:rsid w:val="00043A21"/>
    <w:rsid w:val="00045603"/>
    <w:rsid w:val="00060893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B03F3"/>
    <w:rsid w:val="000B35EE"/>
    <w:rsid w:val="000B37FA"/>
    <w:rsid w:val="000B581A"/>
    <w:rsid w:val="000C095F"/>
    <w:rsid w:val="000C156B"/>
    <w:rsid w:val="000C55B0"/>
    <w:rsid w:val="000C70F7"/>
    <w:rsid w:val="000E505A"/>
    <w:rsid w:val="000E633D"/>
    <w:rsid w:val="000E6985"/>
    <w:rsid w:val="000F036A"/>
    <w:rsid w:val="000F2CB9"/>
    <w:rsid w:val="000F688B"/>
    <w:rsid w:val="00100707"/>
    <w:rsid w:val="00100B71"/>
    <w:rsid w:val="00102082"/>
    <w:rsid w:val="00105C7E"/>
    <w:rsid w:val="001124F9"/>
    <w:rsid w:val="0011502F"/>
    <w:rsid w:val="00121DC6"/>
    <w:rsid w:val="0012687D"/>
    <w:rsid w:val="001331FD"/>
    <w:rsid w:val="00134465"/>
    <w:rsid w:val="00136788"/>
    <w:rsid w:val="00144ABD"/>
    <w:rsid w:val="00147C2B"/>
    <w:rsid w:val="001663D5"/>
    <w:rsid w:val="0016679D"/>
    <w:rsid w:val="0018675A"/>
    <w:rsid w:val="00191459"/>
    <w:rsid w:val="001C29B7"/>
    <w:rsid w:val="001C5822"/>
    <w:rsid w:val="001D3290"/>
    <w:rsid w:val="001D4183"/>
    <w:rsid w:val="001D6760"/>
    <w:rsid w:val="001F3DCB"/>
    <w:rsid w:val="001F6917"/>
    <w:rsid w:val="002159CA"/>
    <w:rsid w:val="0022110F"/>
    <w:rsid w:val="00225778"/>
    <w:rsid w:val="00225783"/>
    <w:rsid w:val="00227304"/>
    <w:rsid w:val="00231BF7"/>
    <w:rsid w:val="00234F83"/>
    <w:rsid w:val="00236F86"/>
    <w:rsid w:val="00240C66"/>
    <w:rsid w:val="002453B0"/>
    <w:rsid w:val="002562E6"/>
    <w:rsid w:val="002676D8"/>
    <w:rsid w:val="00271D66"/>
    <w:rsid w:val="00283792"/>
    <w:rsid w:val="00285EAE"/>
    <w:rsid w:val="00287661"/>
    <w:rsid w:val="00291E42"/>
    <w:rsid w:val="00294497"/>
    <w:rsid w:val="002953F5"/>
    <w:rsid w:val="002961DE"/>
    <w:rsid w:val="00297B6A"/>
    <w:rsid w:val="002A0CF5"/>
    <w:rsid w:val="002A211A"/>
    <w:rsid w:val="002A21DE"/>
    <w:rsid w:val="002B2F5D"/>
    <w:rsid w:val="002B518F"/>
    <w:rsid w:val="002B54C3"/>
    <w:rsid w:val="002C3E1C"/>
    <w:rsid w:val="002C6619"/>
    <w:rsid w:val="002C695A"/>
    <w:rsid w:val="002E2DA8"/>
    <w:rsid w:val="002E5067"/>
    <w:rsid w:val="002E5C19"/>
    <w:rsid w:val="002E6AE6"/>
    <w:rsid w:val="002E7D58"/>
    <w:rsid w:val="002F027B"/>
    <w:rsid w:val="002F2595"/>
    <w:rsid w:val="002F77C8"/>
    <w:rsid w:val="003102DA"/>
    <w:rsid w:val="00321579"/>
    <w:rsid w:val="00332946"/>
    <w:rsid w:val="00336095"/>
    <w:rsid w:val="003461FD"/>
    <w:rsid w:val="0034671D"/>
    <w:rsid w:val="003702DE"/>
    <w:rsid w:val="003755B0"/>
    <w:rsid w:val="0039592A"/>
    <w:rsid w:val="003A05B7"/>
    <w:rsid w:val="003A2B54"/>
    <w:rsid w:val="003A36DF"/>
    <w:rsid w:val="003A3E49"/>
    <w:rsid w:val="003A45FC"/>
    <w:rsid w:val="003B46EA"/>
    <w:rsid w:val="003B4B13"/>
    <w:rsid w:val="003B7978"/>
    <w:rsid w:val="003C79CC"/>
    <w:rsid w:val="003D2FBB"/>
    <w:rsid w:val="003D4FD9"/>
    <w:rsid w:val="003E07BB"/>
    <w:rsid w:val="003E0B28"/>
    <w:rsid w:val="003E2173"/>
    <w:rsid w:val="003E3E45"/>
    <w:rsid w:val="003F2363"/>
    <w:rsid w:val="003F2FBE"/>
    <w:rsid w:val="003F4015"/>
    <w:rsid w:val="00405DF5"/>
    <w:rsid w:val="00407A59"/>
    <w:rsid w:val="00412E3C"/>
    <w:rsid w:val="004252DD"/>
    <w:rsid w:val="00427BD6"/>
    <w:rsid w:val="004347B3"/>
    <w:rsid w:val="00443518"/>
    <w:rsid w:val="00443CD6"/>
    <w:rsid w:val="00446B50"/>
    <w:rsid w:val="00450BD1"/>
    <w:rsid w:val="004552A4"/>
    <w:rsid w:val="00456B1C"/>
    <w:rsid w:val="0045736A"/>
    <w:rsid w:val="0046181D"/>
    <w:rsid w:val="004634FA"/>
    <w:rsid w:val="00490DC9"/>
    <w:rsid w:val="004971DD"/>
    <w:rsid w:val="004B0148"/>
    <w:rsid w:val="004D07F1"/>
    <w:rsid w:val="004D1208"/>
    <w:rsid w:val="004E529F"/>
    <w:rsid w:val="004F2571"/>
    <w:rsid w:val="004F3142"/>
    <w:rsid w:val="004F4A8C"/>
    <w:rsid w:val="00502F9E"/>
    <w:rsid w:val="00503758"/>
    <w:rsid w:val="005052ED"/>
    <w:rsid w:val="00514840"/>
    <w:rsid w:val="00521B59"/>
    <w:rsid w:val="00521D9D"/>
    <w:rsid w:val="00526F81"/>
    <w:rsid w:val="00540B87"/>
    <w:rsid w:val="005506D4"/>
    <w:rsid w:val="00550F08"/>
    <w:rsid w:val="00555C75"/>
    <w:rsid w:val="005569A5"/>
    <w:rsid w:val="0058076D"/>
    <w:rsid w:val="005833AE"/>
    <w:rsid w:val="00586D5F"/>
    <w:rsid w:val="005912B6"/>
    <w:rsid w:val="00596643"/>
    <w:rsid w:val="00597B6D"/>
    <w:rsid w:val="005A091E"/>
    <w:rsid w:val="005A5127"/>
    <w:rsid w:val="005A6B82"/>
    <w:rsid w:val="005B6374"/>
    <w:rsid w:val="005B6B9A"/>
    <w:rsid w:val="005C6A07"/>
    <w:rsid w:val="005D3C7E"/>
    <w:rsid w:val="005D64E9"/>
    <w:rsid w:val="005E3EF8"/>
    <w:rsid w:val="005E6E19"/>
    <w:rsid w:val="005F03DA"/>
    <w:rsid w:val="00602906"/>
    <w:rsid w:val="00612975"/>
    <w:rsid w:val="00616A88"/>
    <w:rsid w:val="00623592"/>
    <w:rsid w:val="0062472C"/>
    <w:rsid w:val="0063499D"/>
    <w:rsid w:val="00635C7D"/>
    <w:rsid w:val="00637416"/>
    <w:rsid w:val="006402FE"/>
    <w:rsid w:val="00642467"/>
    <w:rsid w:val="00643B2A"/>
    <w:rsid w:val="00650DFE"/>
    <w:rsid w:val="00656D36"/>
    <w:rsid w:val="00660284"/>
    <w:rsid w:val="00667B5A"/>
    <w:rsid w:val="006770AE"/>
    <w:rsid w:val="006819E8"/>
    <w:rsid w:val="00682CD8"/>
    <w:rsid w:val="0068614B"/>
    <w:rsid w:val="00691A11"/>
    <w:rsid w:val="006A00CC"/>
    <w:rsid w:val="006B1C05"/>
    <w:rsid w:val="006B251E"/>
    <w:rsid w:val="006B5D2E"/>
    <w:rsid w:val="006C49AF"/>
    <w:rsid w:val="006C5356"/>
    <w:rsid w:val="006D26F5"/>
    <w:rsid w:val="006D2E7D"/>
    <w:rsid w:val="006E3B23"/>
    <w:rsid w:val="006E6008"/>
    <w:rsid w:val="006E7965"/>
    <w:rsid w:val="006F1D27"/>
    <w:rsid w:val="006F246D"/>
    <w:rsid w:val="006F774B"/>
    <w:rsid w:val="007062A0"/>
    <w:rsid w:val="007070CE"/>
    <w:rsid w:val="00711B96"/>
    <w:rsid w:val="007211E4"/>
    <w:rsid w:val="007222BC"/>
    <w:rsid w:val="00725B45"/>
    <w:rsid w:val="007268F8"/>
    <w:rsid w:val="0073224F"/>
    <w:rsid w:val="00734D46"/>
    <w:rsid w:val="007516E4"/>
    <w:rsid w:val="0075474B"/>
    <w:rsid w:val="007625FC"/>
    <w:rsid w:val="007647D9"/>
    <w:rsid w:val="00773407"/>
    <w:rsid w:val="007747FB"/>
    <w:rsid w:val="00790EB9"/>
    <w:rsid w:val="00792397"/>
    <w:rsid w:val="007A325C"/>
    <w:rsid w:val="007A32FA"/>
    <w:rsid w:val="007A7F31"/>
    <w:rsid w:val="007B28FE"/>
    <w:rsid w:val="007B2EF7"/>
    <w:rsid w:val="007B4427"/>
    <w:rsid w:val="007C2032"/>
    <w:rsid w:val="007C7953"/>
    <w:rsid w:val="007D07BA"/>
    <w:rsid w:val="007D2522"/>
    <w:rsid w:val="007D29AE"/>
    <w:rsid w:val="007D5E55"/>
    <w:rsid w:val="007D7F9E"/>
    <w:rsid w:val="007E74EE"/>
    <w:rsid w:val="007F108A"/>
    <w:rsid w:val="007F3278"/>
    <w:rsid w:val="0080298A"/>
    <w:rsid w:val="008120A4"/>
    <w:rsid w:val="008179EC"/>
    <w:rsid w:val="00820BB0"/>
    <w:rsid w:val="00831A25"/>
    <w:rsid w:val="0083267C"/>
    <w:rsid w:val="00833FB5"/>
    <w:rsid w:val="00836E21"/>
    <w:rsid w:val="00841BAE"/>
    <w:rsid w:val="0084341A"/>
    <w:rsid w:val="00857672"/>
    <w:rsid w:val="00864018"/>
    <w:rsid w:val="008772F7"/>
    <w:rsid w:val="00882CCE"/>
    <w:rsid w:val="00883415"/>
    <w:rsid w:val="008B507D"/>
    <w:rsid w:val="008B7B7D"/>
    <w:rsid w:val="008D5938"/>
    <w:rsid w:val="00902AEE"/>
    <w:rsid w:val="00905665"/>
    <w:rsid w:val="009136A0"/>
    <w:rsid w:val="0091406B"/>
    <w:rsid w:val="00925463"/>
    <w:rsid w:val="00925A0F"/>
    <w:rsid w:val="009337A7"/>
    <w:rsid w:val="00934BA4"/>
    <w:rsid w:val="009352C0"/>
    <w:rsid w:val="0093533C"/>
    <w:rsid w:val="0093666E"/>
    <w:rsid w:val="00943DAD"/>
    <w:rsid w:val="00947177"/>
    <w:rsid w:val="0095076D"/>
    <w:rsid w:val="00954EC8"/>
    <w:rsid w:val="00955E5D"/>
    <w:rsid w:val="009600FA"/>
    <w:rsid w:val="00961F52"/>
    <w:rsid w:val="0096318C"/>
    <w:rsid w:val="0096612B"/>
    <w:rsid w:val="00966F29"/>
    <w:rsid w:val="00981BA9"/>
    <w:rsid w:val="00981DF1"/>
    <w:rsid w:val="0098729A"/>
    <w:rsid w:val="00990AA7"/>
    <w:rsid w:val="009946FF"/>
    <w:rsid w:val="009A0613"/>
    <w:rsid w:val="009B1D8F"/>
    <w:rsid w:val="009C1C52"/>
    <w:rsid w:val="009C2EC8"/>
    <w:rsid w:val="009C4662"/>
    <w:rsid w:val="009D15C7"/>
    <w:rsid w:val="009D2666"/>
    <w:rsid w:val="009D7310"/>
    <w:rsid w:val="009D7720"/>
    <w:rsid w:val="009D7D21"/>
    <w:rsid w:val="009E138F"/>
    <w:rsid w:val="009F09B4"/>
    <w:rsid w:val="009F3A23"/>
    <w:rsid w:val="009F53C3"/>
    <w:rsid w:val="00A074ED"/>
    <w:rsid w:val="00A07AD1"/>
    <w:rsid w:val="00A07EF0"/>
    <w:rsid w:val="00A1635C"/>
    <w:rsid w:val="00A16404"/>
    <w:rsid w:val="00A2712A"/>
    <w:rsid w:val="00A373B0"/>
    <w:rsid w:val="00A43578"/>
    <w:rsid w:val="00A655D2"/>
    <w:rsid w:val="00A6609B"/>
    <w:rsid w:val="00A756C1"/>
    <w:rsid w:val="00A76AC4"/>
    <w:rsid w:val="00A822A2"/>
    <w:rsid w:val="00A841F1"/>
    <w:rsid w:val="00A85F1F"/>
    <w:rsid w:val="00A879F0"/>
    <w:rsid w:val="00A910E0"/>
    <w:rsid w:val="00AA0FA2"/>
    <w:rsid w:val="00AA13EA"/>
    <w:rsid w:val="00AA2B7F"/>
    <w:rsid w:val="00AB2438"/>
    <w:rsid w:val="00AB351E"/>
    <w:rsid w:val="00AB5FA2"/>
    <w:rsid w:val="00AC2894"/>
    <w:rsid w:val="00AC42E2"/>
    <w:rsid w:val="00AC580F"/>
    <w:rsid w:val="00AC7F06"/>
    <w:rsid w:val="00AD44B5"/>
    <w:rsid w:val="00AF215D"/>
    <w:rsid w:val="00AF5E02"/>
    <w:rsid w:val="00AF66DB"/>
    <w:rsid w:val="00B0280B"/>
    <w:rsid w:val="00B0502F"/>
    <w:rsid w:val="00B06675"/>
    <w:rsid w:val="00B26D3D"/>
    <w:rsid w:val="00B30829"/>
    <w:rsid w:val="00B32942"/>
    <w:rsid w:val="00B33BE1"/>
    <w:rsid w:val="00B45A45"/>
    <w:rsid w:val="00B51797"/>
    <w:rsid w:val="00B53DCB"/>
    <w:rsid w:val="00B54CB0"/>
    <w:rsid w:val="00B64E6F"/>
    <w:rsid w:val="00B700FA"/>
    <w:rsid w:val="00B716BC"/>
    <w:rsid w:val="00B71A52"/>
    <w:rsid w:val="00B779E6"/>
    <w:rsid w:val="00B81342"/>
    <w:rsid w:val="00B81F9B"/>
    <w:rsid w:val="00B84364"/>
    <w:rsid w:val="00B85BD2"/>
    <w:rsid w:val="00B9437B"/>
    <w:rsid w:val="00BB06DB"/>
    <w:rsid w:val="00BC153E"/>
    <w:rsid w:val="00BC46CF"/>
    <w:rsid w:val="00BC5DEC"/>
    <w:rsid w:val="00BC74BB"/>
    <w:rsid w:val="00BD09E1"/>
    <w:rsid w:val="00BD2A50"/>
    <w:rsid w:val="00BD4ACA"/>
    <w:rsid w:val="00BF0F1E"/>
    <w:rsid w:val="00BF638B"/>
    <w:rsid w:val="00C02B99"/>
    <w:rsid w:val="00C03ECF"/>
    <w:rsid w:val="00C11C07"/>
    <w:rsid w:val="00C12201"/>
    <w:rsid w:val="00C160EC"/>
    <w:rsid w:val="00C17D14"/>
    <w:rsid w:val="00C20E61"/>
    <w:rsid w:val="00C37319"/>
    <w:rsid w:val="00C44DF7"/>
    <w:rsid w:val="00C55882"/>
    <w:rsid w:val="00C5626A"/>
    <w:rsid w:val="00C56C78"/>
    <w:rsid w:val="00C659C8"/>
    <w:rsid w:val="00C76A29"/>
    <w:rsid w:val="00C83FC6"/>
    <w:rsid w:val="00C8499C"/>
    <w:rsid w:val="00C850AA"/>
    <w:rsid w:val="00C86CDE"/>
    <w:rsid w:val="00C927AF"/>
    <w:rsid w:val="00CA4285"/>
    <w:rsid w:val="00CB6885"/>
    <w:rsid w:val="00CD09FD"/>
    <w:rsid w:val="00CD3672"/>
    <w:rsid w:val="00CE3E20"/>
    <w:rsid w:val="00CF7CBC"/>
    <w:rsid w:val="00D06BC8"/>
    <w:rsid w:val="00D10712"/>
    <w:rsid w:val="00D407F6"/>
    <w:rsid w:val="00D437C6"/>
    <w:rsid w:val="00D51388"/>
    <w:rsid w:val="00D5525C"/>
    <w:rsid w:val="00D638A1"/>
    <w:rsid w:val="00D754A3"/>
    <w:rsid w:val="00D835BC"/>
    <w:rsid w:val="00D96FB1"/>
    <w:rsid w:val="00DA50CF"/>
    <w:rsid w:val="00DB51DE"/>
    <w:rsid w:val="00DC12F6"/>
    <w:rsid w:val="00DC6A1C"/>
    <w:rsid w:val="00DD17D2"/>
    <w:rsid w:val="00DE1393"/>
    <w:rsid w:val="00DE36C9"/>
    <w:rsid w:val="00DE3DA9"/>
    <w:rsid w:val="00DF48E5"/>
    <w:rsid w:val="00DF6355"/>
    <w:rsid w:val="00E02D41"/>
    <w:rsid w:val="00E0483C"/>
    <w:rsid w:val="00E05D8E"/>
    <w:rsid w:val="00E20D28"/>
    <w:rsid w:val="00E22AC3"/>
    <w:rsid w:val="00E2418E"/>
    <w:rsid w:val="00E3129A"/>
    <w:rsid w:val="00E33250"/>
    <w:rsid w:val="00E4347A"/>
    <w:rsid w:val="00E5167E"/>
    <w:rsid w:val="00E52BDC"/>
    <w:rsid w:val="00E622AA"/>
    <w:rsid w:val="00E677E3"/>
    <w:rsid w:val="00E70C39"/>
    <w:rsid w:val="00E735AD"/>
    <w:rsid w:val="00E75441"/>
    <w:rsid w:val="00E81BE1"/>
    <w:rsid w:val="00E856B3"/>
    <w:rsid w:val="00E92498"/>
    <w:rsid w:val="00E96A09"/>
    <w:rsid w:val="00EA4743"/>
    <w:rsid w:val="00EB0669"/>
    <w:rsid w:val="00EB7C4D"/>
    <w:rsid w:val="00EB7CFB"/>
    <w:rsid w:val="00EB7EF7"/>
    <w:rsid w:val="00EC35E5"/>
    <w:rsid w:val="00EE0B5F"/>
    <w:rsid w:val="00EE6926"/>
    <w:rsid w:val="00EF58E7"/>
    <w:rsid w:val="00F10106"/>
    <w:rsid w:val="00F10FD1"/>
    <w:rsid w:val="00F20379"/>
    <w:rsid w:val="00F2227A"/>
    <w:rsid w:val="00F34B87"/>
    <w:rsid w:val="00F42619"/>
    <w:rsid w:val="00F5790B"/>
    <w:rsid w:val="00F62319"/>
    <w:rsid w:val="00F63494"/>
    <w:rsid w:val="00F648C8"/>
    <w:rsid w:val="00F725C9"/>
    <w:rsid w:val="00F77304"/>
    <w:rsid w:val="00F7788E"/>
    <w:rsid w:val="00F8226C"/>
    <w:rsid w:val="00F90BF8"/>
    <w:rsid w:val="00F93B36"/>
    <w:rsid w:val="00F97071"/>
    <w:rsid w:val="00FA0E76"/>
    <w:rsid w:val="00FA1C82"/>
    <w:rsid w:val="00FB073F"/>
    <w:rsid w:val="00FB1696"/>
    <w:rsid w:val="00FB5F86"/>
    <w:rsid w:val="00FB6B45"/>
    <w:rsid w:val="00FB71B0"/>
    <w:rsid w:val="00FC0DC3"/>
    <w:rsid w:val="00FC69B5"/>
    <w:rsid w:val="00FD1AC9"/>
    <w:rsid w:val="00FD4A8E"/>
    <w:rsid w:val="00FE7C6E"/>
    <w:rsid w:val="00FF7740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0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0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281</cp:revision>
  <cp:lastPrinted>2023-09-07T17:42:00Z</cp:lastPrinted>
  <dcterms:created xsi:type="dcterms:W3CDTF">2017-04-17T20:18:00Z</dcterms:created>
  <dcterms:modified xsi:type="dcterms:W3CDTF">2024-03-12T14:57:00Z</dcterms:modified>
</cp:coreProperties>
</file>