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77BFF" w14:textId="50D2AAAD" w:rsidR="00407B8A" w:rsidRPr="00485619" w:rsidRDefault="0032795E" w:rsidP="00485619">
      <w:pPr>
        <w:tabs>
          <w:tab w:val="left" w:pos="3630"/>
        </w:tabs>
        <w:spacing w:after="0" w:line="240" w:lineRule="auto"/>
        <w:jc w:val="both"/>
        <w:rPr>
          <w:rFonts w:ascii="Verdana" w:eastAsia="Times New Roman" w:hAnsi="Verdana" w:cs="Arial"/>
          <w:b/>
          <w:bCs/>
          <w:noProof/>
          <w:sz w:val="24"/>
          <w:szCs w:val="24"/>
          <w:lang w:eastAsia="es-CR"/>
        </w:rPr>
      </w:pPr>
      <w:bookmarkStart w:id="0" w:name="_GoBack"/>
      <w:bookmarkEnd w:id="0"/>
      <w:r w:rsidRPr="00485619">
        <w:rPr>
          <w:rFonts w:ascii="Verdana" w:eastAsia="Times New Roman" w:hAnsi="Verdana" w:cs="Arial"/>
          <w:b/>
          <w:bCs/>
          <w:noProof/>
          <w:sz w:val="24"/>
          <w:szCs w:val="24"/>
          <w:lang w:eastAsia="es-CR"/>
        </w:rPr>
        <w:tab/>
      </w:r>
    </w:p>
    <w:p w14:paraId="3C2CD67B" w14:textId="77777777" w:rsidR="0024217D" w:rsidRPr="00485619" w:rsidRDefault="0024217D" w:rsidP="00485619">
      <w:pPr>
        <w:spacing w:after="0" w:line="240" w:lineRule="auto"/>
        <w:jc w:val="both"/>
        <w:rPr>
          <w:rFonts w:ascii="Verdana" w:eastAsia="Times New Roman" w:hAnsi="Verdana" w:cs="Arial"/>
          <w:b/>
          <w:bCs/>
          <w:sz w:val="24"/>
          <w:szCs w:val="24"/>
          <w:lang w:val="es-ES" w:eastAsia="es-ES"/>
        </w:rPr>
      </w:pPr>
    </w:p>
    <w:p w14:paraId="11D15E1F" w14:textId="77777777" w:rsidR="00ED16F5" w:rsidRDefault="00ED16F5" w:rsidP="00ED16F5">
      <w:pPr>
        <w:spacing w:after="0" w:line="240" w:lineRule="auto"/>
        <w:jc w:val="center"/>
        <w:rPr>
          <w:rFonts w:ascii="Verdana" w:eastAsia="Times New Roman" w:hAnsi="Verdana" w:cs="Arial"/>
          <w:b/>
          <w:bCs/>
          <w:sz w:val="24"/>
          <w:szCs w:val="24"/>
          <w:lang w:val="es-ES" w:eastAsia="es-ES"/>
        </w:rPr>
      </w:pPr>
    </w:p>
    <w:p w14:paraId="28149644" w14:textId="77777777" w:rsidR="00ED16F5" w:rsidRDefault="00ED16F5" w:rsidP="00ED16F5">
      <w:pPr>
        <w:spacing w:after="0" w:line="240" w:lineRule="auto"/>
        <w:jc w:val="center"/>
        <w:rPr>
          <w:rFonts w:ascii="Verdana" w:eastAsia="Times New Roman" w:hAnsi="Verdana" w:cs="Arial"/>
          <w:b/>
          <w:bCs/>
          <w:sz w:val="24"/>
          <w:szCs w:val="24"/>
          <w:lang w:val="es-ES" w:eastAsia="es-ES"/>
        </w:rPr>
      </w:pPr>
    </w:p>
    <w:p w14:paraId="1F2CF54B"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DIRECCIÓN GENERAL DEL ARCHIVO NACIONAL</w:t>
      </w:r>
    </w:p>
    <w:p w14:paraId="1ACAF219"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DEPARTAMENTO SERVICIOS ARCHIVISTICOS EXTERNOS</w:t>
      </w:r>
    </w:p>
    <w:p w14:paraId="76B6773B"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5108FD95"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60F50D60"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340F0A52"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400BBB97"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1D28547E"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2F3E27F0"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INFORME DE DESARROLLO ARCHIVÍSTICO A NIVEL NACIONAL</w:t>
      </w:r>
    </w:p>
    <w:p w14:paraId="7E8EE492"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4AE3B2B2"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1C4B21AB"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09577025" w14:textId="77777777" w:rsidR="006A6EA9" w:rsidRPr="00485619" w:rsidRDefault="00E60ACA"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PERÍODO: 2014-2015</w:t>
      </w:r>
    </w:p>
    <w:p w14:paraId="7A75F8CE"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1AD6EDF9"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3018CA0B" w14:textId="77777777" w:rsidR="006A6EA9" w:rsidRPr="00485619" w:rsidRDefault="005F2B91"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BASADO EN LOS INFORMES DE DESARROLLO ARCHIVÍSTICO RENDIDOS POR LOS ARCHIVOS CENTRALES DEL SISTEMA NACIONAL DE ARCHIVOS</w:t>
      </w:r>
    </w:p>
    <w:p w14:paraId="420BD89F"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5B821EB5" w14:textId="77777777" w:rsidR="006A6EA9" w:rsidRDefault="006A6EA9" w:rsidP="00ED16F5">
      <w:pPr>
        <w:spacing w:after="0" w:line="240" w:lineRule="auto"/>
        <w:jc w:val="center"/>
        <w:rPr>
          <w:rFonts w:ascii="Verdana" w:eastAsia="Times New Roman" w:hAnsi="Verdana" w:cs="Arial"/>
          <w:b/>
          <w:bCs/>
          <w:sz w:val="24"/>
          <w:szCs w:val="24"/>
          <w:lang w:val="es-ES" w:eastAsia="es-ES"/>
        </w:rPr>
      </w:pPr>
    </w:p>
    <w:p w14:paraId="38D581B9" w14:textId="77777777" w:rsidR="00ED16F5" w:rsidRPr="00485619" w:rsidRDefault="00ED16F5" w:rsidP="00ED16F5">
      <w:pPr>
        <w:spacing w:after="0" w:line="240" w:lineRule="auto"/>
        <w:jc w:val="center"/>
        <w:rPr>
          <w:rFonts w:ascii="Verdana" w:eastAsia="Times New Roman" w:hAnsi="Verdana" w:cs="Arial"/>
          <w:b/>
          <w:bCs/>
          <w:sz w:val="24"/>
          <w:szCs w:val="24"/>
          <w:lang w:val="es-ES" w:eastAsia="es-ES"/>
        </w:rPr>
      </w:pPr>
    </w:p>
    <w:p w14:paraId="29E0E284"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335EB6D9"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539974F4"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ELABORADO POR:</w:t>
      </w:r>
    </w:p>
    <w:p w14:paraId="4128917A"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4C61D12F" w14:textId="77777777" w:rsidR="006A6EA9" w:rsidRPr="00485619" w:rsidRDefault="005F2B91"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MELLANY OTÁROLA SÁENZ</w:t>
      </w:r>
    </w:p>
    <w:p w14:paraId="5FA2C613"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p>
    <w:p w14:paraId="0295A41E" w14:textId="77777777" w:rsidR="00395DB5" w:rsidRPr="00485619" w:rsidRDefault="00395DB5" w:rsidP="00ED16F5">
      <w:pPr>
        <w:spacing w:after="0" w:line="240" w:lineRule="auto"/>
        <w:jc w:val="center"/>
        <w:rPr>
          <w:rFonts w:ascii="Verdana" w:eastAsia="Times New Roman" w:hAnsi="Verdana" w:cs="Arial"/>
          <w:b/>
          <w:bCs/>
          <w:sz w:val="24"/>
          <w:szCs w:val="24"/>
          <w:lang w:val="es-ES" w:eastAsia="es-ES"/>
        </w:rPr>
      </w:pPr>
    </w:p>
    <w:p w14:paraId="41C5C4E0" w14:textId="77777777" w:rsidR="006A6EA9" w:rsidRDefault="006A6EA9" w:rsidP="00ED16F5">
      <w:pPr>
        <w:spacing w:after="0" w:line="240" w:lineRule="auto"/>
        <w:jc w:val="center"/>
        <w:rPr>
          <w:rFonts w:ascii="Verdana" w:eastAsia="Times New Roman" w:hAnsi="Verdana" w:cs="Arial"/>
          <w:b/>
          <w:bCs/>
          <w:sz w:val="24"/>
          <w:szCs w:val="24"/>
          <w:lang w:eastAsia="es-ES"/>
        </w:rPr>
      </w:pPr>
    </w:p>
    <w:p w14:paraId="2775FC04" w14:textId="77777777" w:rsidR="00ED16F5" w:rsidRDefault="00ED16F5" w:rsidP="00ED16F5">
      <w:pPr>
        <w:spacing w:after="0" w:line="240" w:lineRule="auto"/>
        <w:jc w:val="center"/>
        <w:rPr>
          <w:rFonts w:ascii="Verdana" w:eastAsia="Times New Roman" w:hAnsi="Verdana" w:cs="Arial"/>
          <w:b/>
          <w:bCs/>
          <w:sz w:val="24"/>
          <w:szCs w:val="24"/>
          <w:lang w:eastAsia="es-ES"/>
        </w:rPr>
      </w:pPr>
    </w:p>
    <w:p w14:paraId="7451E66A" w14:textId="77777777" w:rsidR="00ED16F5" w:rsidRDefault="00ED16F5" w:rsidP="00ED16F5">
      <w:pPr>
        <w:spacing w:after="0" w:line="240" w:lineRule="auto"/>
        <w:jc w:val="center"/>
        <w:rPr>
          <w:rFonts w:ascii="Verdana" w:eastAsia="Times New Roman" w:hAnsi="Verdana" w:cs="Arial"/>
          <w:b/>
          <w:bCs/>
          <w:sz w:val="24"/>
          <w:szCs w:val="24"/>
          <w:lang w:eastAsia="es-ES"/>
        </w:rPr>
      </w:pPr>
    </w:p>
    <w:p w14:paraId="05015CDC" w14:textId="77777777" w:rsidR="00ED16F5" w:rsidRPr="00485619" w:rsidRDefault="00ED16F5" w:rsidP="00ED16F5">
      <w:pPr>
        <w:spacing w:after="0" w:line="240" w:lineRule="auto"/>
        <w:jc w:val="center"/>
        <w:rPr>
          <w:rFonts w:ascii="Verdana" w:eastAsia="Times New Roman" w:hAnsi="Verdana" w:cs="Arial"/>
          <w:b/>
          <w:bCs/>
          <w:sz w:val="24"/>
          <w:szCs w:val="24"/>
          <w:lang w:eastAsia="es-ES"/>
        </w:rPr>
      </w:pPr>
    </w:p>
    <w:p w14:paraId="5B1EA522" w14:textId="77777777" w:rsidR="006A6EA9" w:rsidRPr="00485619" w:rsidRDefault="006A6EA9" w:rsidP="00ED16F5">
      <w:pPr>
        <w:spacing w:after="0" w:line="240" w:lineRule="auto"/>
        <w:jc w:val="center"/>
        <w:rPr>
          <w:rFonts w:ascii="Verdana" w:eastAsia="Times New Roman" w:hAnsi="Verdana" w:cs="Arial"/>
          <w:b/>
          <w:bCs/>
          <w:sz w:val="24"/>
          <w:szCs w:val="24"/>
          <w:lang w:eastAsia="es-ES"/>
        </w:rPr>
      </w:pPr>
    </w:p>
    <w:p w14:paraId="41B1FF70" w14:textId="77777777" w:rsidR="006A6EA9" w:rsidRPr="00485619" w:rsidRDefault="00091369" w:rsidP="00ED16F5">
      <w:pPr>
        <w:spacing w:after="0" w:line="240" w:lineRule="auto"/>
        <w:jc w:val="center"/>
        <w:rPr>
          <w:rFonts w:ascii="Verdana" w:eastAsia="Times New Roman" w:hAnsi="Verdana" w:cs="Arial"/>
          <w:b/>
          <w:bCs/>
          <w:sz w:val="24"/>
          <w:szCs w:val="24"/>
          <w:lang w:eastAsia="es-ES"/>
        </w:rPr>
      </w:pPr>
      <w:r w:rsidRPr="00485619">
        <w:rPr>
          <w:rFonts w:ascii="Verdana" w:eastAsia="Times New Roman" w:hAnsi="Verdana" w:cs="Arial"/>
          <w:b/>
          <w:bCs/>
          <w:sz w:val="24"/>
          <w:szCs w:val="24"/>
          <w:lang w:eastAsia="es-ES"/>
        </w:rPr>
        <w:t xml:space="preserve">OCTUBRE </w:t>
      </w:r>
      <w:r w:rsidR="00E60ACA" w:rsidRPr="00485619">
        <w:rPr>
          <w:rFonts w:ascii="Verdana" w:eastAsia="Times New Roman" w:hAnsi="Verdana" w:cs="Arial"/>
          <w:b/>
          <w:bCs/>
          <w:sz w:val="24"/>
          <w:szCs w:val="24"/>
          <w:lang w:eastAsia="es-ES"/>
        </w:rPr>
        <w:t>2015</w:t>
      </w:r>
    </w:p>
    <w:p w14:paraId="64A14FB7" w14:textId="77777777" w:rsidR="00095EB7" w:rsidRPr="00485619" w:rsidRDefault="00095EB7" w:rsidP="00485619">
      <w:pPr>
        <w:jc w:val="both"/>
        <w:rPr>
          <w:rFonts w:ascii="Verdana" w:eastAsia="Times New Roman" w:hAnsi="Verdana" w:cs="Arial"/>
          <w:b/>
          <w:bCs/>
          <w:sz w:val="24"/>
          <w:szCs w:val="24"/>
          <w:lang w:eastAsia="es-ES"/>
        </w:rPr>
      </w:pPr>
    </w:p>
    <w:p w14:paraId="00EA1001" w14:textId="77777777" w:rsidR="003E4141" w:rsidRPr="00485619" w:rsidRDefault="003E4141" w:rsidP="00485619">
      <w:pPr>
        <w:jc w:val="both"/>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br w:type="page"/>
      </w:r>
    </w:p>
    <w:p w14:paraId="2E74AAD1" w14:textId="77777777" w:rsidR="003E4141" w:rsidRPr="00485619" w:rsidRDefault="003E4141" w:rsidP="00485619">
      <w:pPr>
        <w:spacing w:after="0" w:line="240" w:lineRule="auto"/>
        <w:jc w:val="both"/>
        <w:rPr>
          <w:rFonts w:ascii="Verdana" w:eastAsia="Times New Roman" w:hAnsi="Verdana" w:cs="Arial"/>
          <w:b/>
          <w:bCs/>
          <w:sz w:val="24"/>
          <w:szCs w:val="24"/>
          <w:lang w:val="es-ES" w:eastAsia="es-ES"/>
        </w:rPr>
      </w:pPr>
    </w:p>
    <w:p w14:paraId="4CC9CD19" w14:textId="77777777" w:rsidR="006A6EA9" w:rsidRPr="00485619" w:rsidRDefault="006A6EA9" w:rsidP="00ED16F5">
      <w:pPr>
        <w:spacing w:after="0" w:line="240" w:lineRule="auto"/>
        <w:jc w:val="center"/>
        <w:rPr>
          <w:rFonts w:ascii="Verdana" w:eastAsia="Times New Roman" w:hAnsi="Verdana" w:cs="Arial"/>
          <w:b/>
          <w:bCs/>
          <w:sz w:val="24"/>
          <w:szCs w:val="24"/>
          <w:lang w:val="es-ES" w:eastAsia="es-ES"/>
        </w:rPr>
      </w:pPr>
      <w:r w:rsidRPr="00485619">
        <w:rPr>
          <w:rFonts w:ascii="Verdana" w:eastAsia="Times New Roman" w:hAnsi="Verdana" w:cs="Arial"/>
          <w:b/>
          <w:bCs/>
          <w:sz w:val="24"/>
          <w:szCs w:val="24"/>
          <w:lang w:val="es-ES" w:eastAsia="es-ES"/>
        </w:rPr>
        <w:t>ÍNDICE</w:t>
      </w:r>
    </w:p>
    <w:p w14:paraId="74CE0DC2" w14:textId="77777777" w:rsidR="006A6EA9" w:rsidRPr="00485619" w:rsidRDefault="006A6EA9" w:rsidP="00485619">
      <w:pPr>
        <w:spacing w:after="0" w:line="240" w:lineRule="auto"/>
        <w:jc w:val="both"/>
        <w:rPr>
          <w:rFonts w:ascii="Verdana" w:eastAsia="Times New Roman" w:hAnsi="Verdana" w:cs="Arial"/>
          <w:b/>
          <w:bCs/>
          <w:sz w:val="24"/>
          <w:szCs w:val="24"/>
          <w:lang w:val="es-ES" w:eastAsia="es-ES"/>
        </w:rPr>
      </w:pPr>
    </w:p>
    <w:p w14:paraId="760F7D0D" w14:textId="77777777" w:rsidR="00FA0C5D" w:rsidRDefault="006A6EA9">
      <w:pPr>
        <w:pStyle w:val="TDC1"/>
        <w:rPr>
          <w:rFonts w:asciiTheme="minorHAnsi" w:eastAsiaTheme="minorEastAsia" w:hAnsiTheme="minorHAnsi" w:cstheme="minorBidi"/>
          <w:b w:val="0"/>
          <w:bCs w:val="0"/>
          <w:i w:val="0"/>
          <w:iCs w:val="0"/>
          <w:szCs w:val="22"/>
          <w:lang w:val="es-CR" w:eastAsia="es-CR"/>
        </w:rPr>
      </w:pPr>
      <w:r w:rsidRPr="00485619">
        <w:rPr>
          <w:b w:val="0"/>
          <w:bCs w:val="0"/>
          <w:i w:val="0"/>
          <w:iCs w:val="0"/>
          <w:sz w:val="24"/>
          <w:szCs w:val="24"/>
          <w:highlight w:val="yellow"/>
        </w:rPr>
        <w:fldChar w:fldCharType="begin"/>
      </w:r>
      <w:r w:rsidRPr="00485619">
        <w:rPr>
          <w:b w:val="0"/>
          <w:bCs w:val="0"/>
          <w:i w:val="0"/>
          <w:iCs w:val="0"/>
          <w:sz w:val="24"/>
          <w:szCs w:val="24"/>
          <w:highlight w:val="yellow"/>
        </w:rPr>
        <w:instrText xml:space="preserve"> TOC \o "1-3" \h \z </w:instrText>
      </w:r>
      <w:r w:rsidRPr="00485619">
        <w:rPr>
          <w:b w:val="0"/>
          <w:bCs w:val="0"/>
          <w:i w:val="0"/>
          <w:iCs w:val="0"/>
          <w:sz w:val="24"/>
          <w:szCs w:val="24"/>
          <w:highlight w:val="yellow"/>
        </w:rPr>
        <w:fldChar w:fldCharType="separate"/>
      </w:r>
      <w:hyperlink w:anchor="_Toc444697498" w:history="1">
        <w:r w:rsidR="00FA0C5D" w:rsidRPr="000F35BA">
          <w:rPr>
            <w:rStyle w:val="Hipervnculo"/>
          </w:rPr>
          <w:t>I. Introducción</w:t>
        </w:r>
        <w:r w:rsidR="00FA0C5D">
          <w:rPr>
            <w:webHidden/>
          </w:rPr>
          <w:tab/>
        </w:r>
        <w:r w:rsidR="00FA0C5D">
          <w:rPr>
            <w:webHidden/>
          </w:rPr>
          <w:fldChar w:fldCharType="begin"/>
        </w:r>
        <w:r w:rsidR="00FA0C5D">
          <w:rPr>
            <w:webHidden/>
          </w:rPr>
          <w:instrText xml:space="preserve"> PAGEREF _Toc444697498 \h </w:instrText>
        </w:r>
        <w:r w:rsidR="00FA0C5D">
          <w:rPr>
            <w:webHidden/>
          </w:rPr>
        </w:r>
        <w:r w:rsidR="00FA0C5D">
          <w:rPr>
            <w:webHidden/>
          </w:rPr>
          <w:fldChar w:fldCharType="separate"/>
        </w:r>
        <w:r w:rsidR="00FA0C5D">
          <w:rPr>
            <w:webHidden/>
          </w:rPr>
          <w:t>3</w:t>
        </w:r>
        <w:r w:rsidR="00FA0C5D">
          <w:rPr>
            <w:webHidden/>
          </w:rPr>
          <w:fldChar w:fldCharType="end"/>
        </w:r>
      </w:hyperlink>
    </w:p>
    <w:p w14:paraId="4B3D54F5" w14:textId="77777777" w:rsidR="00FA0C5D" w:rsidRDefault="00861E10">
      <w:pPr>
        <w:pStyle w:val="TDC1"/>
        <w:rPr>
          <w:rFonts w:asciiTheme="minorHAnsi" w:eastAsiaTheme="minorEastAsia" w:hAnsiTheme="minorHAnsi" w:cstheme="minorBidi"/>
          <w:b w:val="0"/>
          <w:bCs w:val="0"/>
          <w:i w:val="0"/>
          <w:iCs w:val="0"/>
          <w:szCs w:val="22"/>
          <w:lang w:val="es-CR" w:eastAsia="es-CR"/>
        </w:rPr>
      </w:pPr>
      <w:hyperlink w:anchor="_Toc444697499" w:history="1">
        <w:r w:rsidR="00FA0C5D" w:rsidRPr="000F35BA">
          <w:rPr>
            <w:rStyle w:val="Hipervnculo"/>
          </w:rPr>
          <w:t>II. Objetivos</w:t>
        </w:r>
        <w:r w:rsidR="00FA0C5D">
          <w:rPr>
            <w:webHidden/>
          </w:rPr>
          <w:tab/>
        </w:r>
        <w:r w:rsidR="00FA0C5D">
          <w:rPr>
            <w:webHidden/>
          </w:rPr>
          <w:fldChar w:fldCharType="begin"/>
        </w:r>
        <w:r w:rsidR="00FA0C5D">
          <w:rPr>
            <w:webHidden/>
          </w:rPr>
          <w:instrText xml:space="preserve"> PAGEREF _Toc444697499 \h </w:instrText>
        </w:r>
        <w:r w:rsidR="00FA0C5D">
          <w:rPr>
            <w:webHidden/>
          </w:rPr>
        </w:r>
        <w:r w:rsidR="00FA0C5D">
          <w:rPr>
            <w:webHidden/>
          </w:rPr>
          <w:fldChar w:fldCharType="separate"/>
        </w:r>
        <w:r w:rsidR="00FA0C5D">
          <w:rPr>
            <w:webHidden/>
          </w:rPr>
          <w:t>3</w:t>
        </w:r>
        <w:r w:rsidR="00FA0C5D">
          <w:rPr>
            <w:webHidden/>
          </w:rPr>
          <w:fldChar w:fldCharType="end"/>
        </w:r>
      </w:hyperlink>
    </w:p>
    <w:p w14:paraId="0AF110F3" w14:textId="77777777" w:rsidR="00FA0C5D" w:rsidRDefault="00861E10">
      <w:pPr>
        <w:pStyle w:val="TDC1"/>
        <w:rPr>
          <w:rFonts w:asciiTheme="minorHAnsi" w:eastAsiaTheme="minorEastAsia" w:hAnsiTheme="minorHAnsi" w:cstheme="minorBidi"/>
          <w:b w:val="0"/>
          <w:bCs w:val="0"/>
          <w:i w:val="0"/>
          <w:iCs w:val="0"/>
          <w:szCs w:val="22"/>
          <w:lang w:val="es-CR" w:eastAsia="es-CR"/>
        </w:rPr>
      </w:pPr>
      <w:hyperlink w:anchor="_Toc444697500" w:history="1">
        <w:r w:rsidR="00FA0C5D" w:rsidRPr="000F35BA">
          <w:rPr>
            <w:rStyle w:val="Hipervnculo"/>
          </w:rPr>
          <w:t>III. Metodología</w:t>
        </w:r>
        <w:r w:rsidR="00FA0C5D">
          <w:rPr>
            <w:webHidden/>
          </w:rPr>
          <w:tab/>
        </w:r>
        <w:r w:rsidR="00FA0C5D">
          <w:rPr>
            <w:webHidden/>
          </w:rPr>
          <w:fldChar w:fldCharType="begin"/>
        </w:r>
        <w:r w:rsidR="00FA0C5D">
          <w:rPr>
            <w:webHidden/>
          </w:rPr>
          <w:instrText xml:space="preserve"> PAGEREF _Toc444697500 \h </w:instrText>
        </w:r>
        <w:r w:rsidR="00FA0C5D">
          <w:rPr>
            <w:webHidden/>
          </w:rPr>
        </w:r>
        <w:r w:rsidR="00FA0C5D">
          <w:rPr>
            <w:webHidden/>
          </w:rPr>
          <w:fldChar w:fldCharType="separate"/>
        </w:r>
        <w:r w:rsidR="00FA0C5D">
          <w:rPr>
            <w:webHidden/>
          </w:rPr>
          <w:t>4</w:t>
        </w:r>
        <w:r w:rsidR="00FA0C5D">
          <w:rPr>
            <w:webHidden/>
          </w:rPr>
          <w:fldChar w:fldCharType="end"/>
        </w:r>
      </w:hyperlink>
    </w:p>
    <w:p w14:paraId="5D23FADD" w14:textId="77777777" w:rsidR="00FA0C5D" w:rsidRDefault="00861E10">
      <w:pPr>
        <w:pStyle w:val="TDC1"/>
        <w:rPr>
          <w:rFonts w:asciiTheme="minorHAnsi" w:eastAsiaTheme="minorEastAsia" w:hAnsiTheme="minorHAnsi" w:cstheme="minorBidi"/>
          <w:b w:val="0"/>
          <w:bCs w:val="0"/>
          <w:i w:val="0"/>
          <w:iCs w:val="0"/>
          <w:szCs w:val="22"/>
          <w:lang w:val="es-CR" w:eastAsia="es-CR"/>
        </w:rPr>
      </w:pPr>
      <w:hyperlink w:anchor="_Toc444697501" w:history="1">
        <w:r w:rsidR="00FA0C5D" w:rsidRPr="000F35BA">
          <w:rPr>
            <w:rStyle w:val="Hipervnculo"/>
          </w:rPr>
          <w:t>IV. Antecedentes</w:t>
        </w:r>
        <w:r w:rsidR="00FA0C5D">
          <w:rPr>
            <w:webHidden/>
          </w:rPr>
          <w:tab/>
        </w:r>
        <w:r w:rsidR="00FA0C5D">
          <w:rPr>
            <w:webHidden/>
          </w:rPr>
          <w:fldChar w:fldCharType="begin"/>
        </w:r>
        <w:r w:rsidR="00FA0C5D">
          <w:rPr>
            <w:webHidden/>
          </w:rPr>
          <w:instrText xml:space="preserve"> PAGEREF _Toc444697501 \h </w:instrText>
        </w:r>
        <w:r w:rsidR="00FA0C5D">
          <w:rPr>
            <w:webHidden/>
          </w:rPr>
        </w:r>
        <w:r w:rsidR="00FA0C5D">
          <w:rPr>
            <w:webHidden/>
          </w:rPr>
          <w:fldChar w:fldCharType="separate"/>
        </w:r>
        <w:r w:rsidR="00FA0C5D">
          <w:rPr>
            <w:webHidden/>
          </w:rPr>
          <w:t>6</w:t>
        </w:r>
        <w:r w:rsidR="00FA0C5D">
          <w:rPr>
            <w:webHidden/>
          </w:rPr>
          <w:fldChar w:fldCharType="end"/>
        </w:r>
      </w:hyperlink>
    </w:p>
    <w:p w14:paraId="485BE027" w14:textId="77777777" w:rsidR="00FA0C5D" w:rsidRDefault="00861E10">
      <w:pPr>
        <w:pStyle w:val="TDC1"/>
        <w:rPr>
          <w:rFonts w:asciiTheme="minorHAnsi" w:eastAsiaTheme="minorEastAsia" w:hAnsiTheme="minorHAnsi" w:cstheme="minorBidi"/>
          <w:b w:val="0"/>
          <w:bCs w:val="0"/>
          <w:i w:val="0"/>
          <w:iCs w:val="0"/>
          <w:szCs w:val="22"/>
          <w:lang w:val="es-CR" w:eastAsia="es-CR"/>
        </w:rPr>
      </w:pPr>
      <w:hyperlink w:anchor="_Toc444697502" w:history="1">
        <w:r w:rsidR="00FA0C5D" w:rsidRPr="000F35BA">
          <w:rPr>
            <w:rStyle w:val="Hipervnculo"/>
          </w:rPr>
          <w:t>V. Aspectos Generales</w:t>
        </w:r>
        <w:r w:rsidR="00FA0C5D">
          <w:rPr>
            <w:webHidden/>
          </w:rPr>
          <w:tab/>
        </w:r>
        <w:r w:rsidR="00FA0C5D">
          <w:rPr>
            <w:webHidden/>
          </w:rPr>
          <w:fldChar w:fldCharType="begin"/>
        </w:r>
        <w:r w:rsidR="00FA0C5D">
          <w:rPr>
            <w:webHidden/>
          </w:rPr>
          <w:instrText xml:space="preserve"> PAGEREF _Toc444697502 \h </w:instrText>
        </w:r>
        <w:r w:rsidR="00FA0C5D">
          <w:rPr>
            <w:webHidden/>
          </w:rPr>
        </w:r>
        <w:r w:rsidR="00FA0C5D">
          <w:rPr>
            <w:webHidden/>
          </w:rPr>
          <w:fldChar w:fldCharType="separate"/>
        </w:r>
        <w:r w:rsidR="00FA0C5D">
          <w:rPr>
            <w:webHidden/>
          </w:rPr>
          <w:t>7</w:t>
        </w:r>
        <w:r w:rsidR="00FA0C5D">
          <w:rPr>
            <w:webHidden/>
          </w:rPr>
          <w:fldChar w:fldCharType="end"/>
        </w:r>
      </w:hyperlink>
    </w:p>
    <w:p w14:paraId="07B31947" w14:textId="77777777" w:rsidR="00FA0C5D" w:rsidRDefault="00861E10">
      <w:pPr>
        <w:pStyle w:val="TDC1"/>
        <w:rPr>
          <w:rFonts w:asciiTheme="minorHAnsi" w:eastAsiaTheme="minorEastAsia" w:hAnsiTheme="minorHAnsi" w:cstheme="minorBidi"/>
          <w:b w:val="0"/>
          <w:bCs w:val="0"/>
          <w:i w:val="0"/>
          <w:iCs w:val="0"/>
          <w:szCs w:val="22"/>
          <w:lang w:val="es-CR" w:eastAsia="es-CR"/>
        </w:rPr>
      </w:pPr>
      <w:hyperlink w:anchor="_Toc444697503" w:history="1">
        <w:r w:rsidR="00FA0C5D" w:rsidRPr="000F35BA">
          <w:rPr>
            <w:rStyle w:val="Hipervnculo"/>
          </w:rPr>
          <w:t>VI. Análisis cuantitativo y cualitativo de las variables contenidas en los informes de desarrollo archivístico presentados en el período 2014-2015</w:t>
        </w:r>
        <w:r w:rsidR="00FA0C5D">
          <w:rPr>
            <w:webHidden/>
          </w:rPr>
          <w:tab/>
        </w:r>
        <w:r w:rsidR="00FA0C5D">
          <w:rPr>
            <w:webHidden/>
          </w:rPr>
          <w:fldChar w:fldCharType="begin"/>
        </w:r>
        <w:r w:rsidR="00FA0C5D">
          <w:rPr>
            <w:webHidden/>
          </w:rPr>
          <w:instrText xml:space="preserve"> PAGEREF _Toc444697503 \h </w:instrText>
        </w:r>
        <w:r w:rsidR="00FA0C5D">
          <w:rPr>
            <w:webHidden/>
          </w:rPr>
        </w:r>
        <w:r w:rsidR="00FA0C5D">
          <w:rPr>
            <w:webHidden/>
          </w:rPr>
          <w:fldChar w:fldCharType="separate"/>
        </w:r>
        <w:r w:rsidR="00FA0C5D">
          <w:rPr>
            <w:webHidden/>
          </w:rPr>
          <w:t>8</w:t>
        </w:r>
        <w:r w:rsidR="00FA0C5D">
          <w:rPr>
            <w:webHidden/>
          </w:rPr>
          <w:fldChar w:fldCharType="end"/>
        </w:r>
      </w:hyperlink>
    </w:p>
    <w:p w14:paraId="7CDD7BDA" w14:textId="77777777" w:rsidR="00FA0C5D" w:rsidRDefault="00861E10">
      <w:pPr>
        <w:pStyle w:val="TDC2"/>
        <w:tabs>
          <w:tab w:val="left" w:pos="720"/>
          <w:tab w:val="right" w:leader="underscore" w:pos="9062"/>
        </w:tabs>
        <w:rPr>
          <w:rFonts w:asciiTheme="minorHAnsi" w:eastAsiaTheme="minorEastAsia" w:hAnsiTheme="minorHAnsi" w:cstheme="minorBidi"/>
          <w:b w:val="0"/>
          <w:bCs w:val="0"/>
          <w:noProof/>
          <w:sz w:val="22"/>
          <w:szCs w:val="22"/>
          <w:lang w:val="es-CR" w:eastAsia="es-CR"/>
        </w:rPr>
      </w:pPr>
      <w:hyperlink w:anchor="_Toc444697504" w:history="1">
        <w:r w:rsidR="00FA0C5D" w:rsidRPr="000F35BA">
          <w:rPr>
            <w:rStyle w:val="Hipervnculo"/>
            <w:rFonts w:ascii="Verdana" w:hAnsi="Verdana"/>
            <w:noProof/>
          </w:rPr>
          <w:t>1.</w:t>
        </w:r>
        <w:r w:rsidR="00FA0C5D">
          <w:rPr>
            <w:rFonts w:asciiTheme="minorHAnsi" w:eastAsiaTheme="minorEastAsia" w:hAnsiTheme="minorHAnsi" w:cstheme="minorBidi"/>
            <w:b w:val="0"/>
            <w:bCs w:val="0"/>
            <w:noProof/>
            <w:sz w:val="22"/>
            <w:szCs w:val="22"/>
            <w:lang w:val="es-CR" w:eastAsia="es-CR"/>
          </w:rPr>
          <w:tab/>
        </w:r>
        <w:r w:rsidR="00FA0C5D" w:rsidRPr="000F35BA">
          <w:rPr>
            <w:rStyle w:val="Hipervnculo"/>
            <w:rFonts w:ascii="Verdana" w:hAnsi="Verdana"/>
            <w:noProof/>
          </w:rPr>
          <w:t>Recurso Humano</w:t>
        </w:r>
        <w:r w:rsidR="00FA0C5D">
          <w:rPr>
            <w:noProof/>
            <w:webHidden/>
          </w:rPr>
          <w:tab/>
        </w:r>
        <w:r w:rsidR="00FA0C5D">
          <w:rPr>
            <w:noProof/>
            <w:webHidden/>
          </w:rPr>
          <w:fldChar w:fldCharType="begin"/>
        </w:r>
        <w:r w:rsidR="00FA0C5D">
          <w:rPr>
            <w:noProof/>
            <w:webHidden/>
          </w:rPr>
          <w:instrText xml:space="preserve"> PAGEREF _Toc444697504 \h </w:instrText>
        </w:r>
        <w:r w:rsidR="00FA0C5D">
          <w:rPr>
            <w:noProof/>
            <w:webHidden/>
          </w:rPr>
        </w:r>
        <w:r w:rsidR="00FA0C5D">
          <w:rPr>
            <w:noProof/>
            <w:webHidden/>
          </w:rPr>
          <w:fldChar w:fldCharType="separate"/>
        </w:r>
        <w:r w:rsidR="00FA0C5D">
          <w:rPr>
            <w:noProof/>
            <w:webHidden/>
          </w:rPr>
          <w:t>8</w:t>
        </w:r>
        <w:r w:rsidR="00FA0C5D">
          <w:rPr>
            <w:noProof/>
            <w:webHidden/>
          </w:rPr>
          <w:fldChar w:fldCharType="end"/>
        </w:r>
      </w:hyperlink>
    </w:p>
    <w:p w14:paraId="57E549D6" w14:textId="77777777" w:rsidR="00FA0C5D" w:rsidRDefault="00861E10">
      <w:pPr>
        <w:pStyle w:val="TDC2"/>
        <w:tabs>
          <w:tab w:val="left" w:pos="720"/>
          <w:tab w:val="right" w:leader="underscore" w:pos="9062"/>
        </w:tabs>
        <w:rPr>
          <w:rFonts w:asciiTheme="minorHAnsi" w:eastAsiaTheme="minorEastAsia" w:hAnsiTheme="minorHAnsi" w:cstheme="minorBidi"/>
          <w:b w:val="0"/>
          <w:bCs w:val="0"/>
          <w:noProof/>
          <w:sz w:val="22"/>
          <w:szCs w:val="22"/>
          <w:lang w:val="es-CR" w:eastAsia="es-CR"/>
        </w:rPr>
      </w:pPr>
      <w:hyperlink w:anchor="_Toc444697505" w:history="1">
        <w:r w:rsidR="00FA0C5D" w:rsidRPr="000F35BA">
          <w:rPr>
            <w:rStyle w:val="Hipervnculo"/>
            <w:rFonts w:ascii="Verdana" w:hAnsi="Verdana"/>
            <w:noProof/>
          </w:rPr>
          <w:t>2.</w:t>
        </w:r>
        <w:r w:rsidR="00FA0C5D">
          <w:rPr>
            <w:rFonts w:asciiTheme="minorHAnsi" w:eastAsiaTheme="minorEastAsia" w:hAnsiTheme="minorHAnsi" w:cstheme="minorBidi"/>
            <w:b w:val="0"/>
            <w:bCs w:val="0"/>
            <w:noProof/>
            <w:sz w:val="22"/>
            <w:szCs w:val="22"/>
            <w:lang w:val="es-CR" w:eastAsia="es-CR"/>
          </w:rPr>
          <w:tab/>
        </w:r>
        <w:r w:rsidR="00FA0C5D" w:rsidRPr="000F35BA">
          <w:rPr>
            <w:rStyle w:val="Hipervnculo"/>
            <w:rFonts w:ascii="Verdana" w:hAnsi="Verdana"/>
            <w:noProof/>
          </w:rPr>
          <w:t>Organización del fondo documental</w:t>
        </w:r>
        <w:r w:rsidR="00FA0C5D">
          <w:rPr>
            <w:noProof/>
            <w:webHidden/>
          </w:rPr>
          <w:tab/>
        </w:r>
        <w:r w:rsidR="00FA0C5D">
          <w:rPr>
            <w:noProof/>
            <w:webHidden/>
          </w:rPr>
          <w:fldChar w:fldCharType="begin"/>
        </w:r>
        <w:r w:rsidR="00FA0C5D">
          <w:rPr>
            <w:noProof/>
            <w:webHidden/>
          </w:rPr>
          <w:instrText xml:space="preserve"> PAGEREF _Toc444697505 \h </w:instrText>
        </w:r>
        <w:r w:rsidR="00FA0C5D">
          <w:rPr>
            <w:noProof/>
            <w:webHidden/>
          </w:rPr>
        </w:r>
        <w:r w:rsidR="00FA0C5D">
          <w:rPr>
            <w:noProof/>
            <w:webHidden/>
          </w:rPr>
          <w:fldChar w:fldCharType="separate"/>
        </w:r>
        <w:r w:rsidR="00FA0C5D">
          <w:rPr>
            <w:noProof/>
            <w:webHidden/>
          </w:rPr>
          <w:t>9</w:t>
        </w:r>
        <w:r w:rsidR="00FA0C5D">
          <w:rPr>
            <w:noProof/>
            <w:webHidden/>
          </w:rPr>
          <w:fldChar w:fldCharType="end"/>
        </w:r>
      </w:hyperlink>
    </w:p>
    <w:p w14:paraId="124E8976" w14:textId="77777777" w:rsidR="00FA0C5D" w:rsidRDefault="00861E10">
      <w:pPr>
        <w:pStyle w:val="TDC3"/>
        <w:tabs>
          <w:tab w:val="right" w:leader="underscore" w:pos="9062"/>
        </w:tabs>
        <w:rPr>
          <w:rFonts w:asciiTheme="minorHAnsi" w:eastAsiaTheme="minorEastAsia" w:hAnsiTheme="minorHAnsi" w:cstheme="minorBidi"/>
          <w:noProof/>
          <w:sz w:val="22"/>
          <w:szCs w:val="22"/>
          <w:lang w:val="es-CR" w:eastAsia="es-CR"/>
        </w:rPr>
      </w:pPr>
      <w:hyperlink w:anchor="_Toc444697506" w:history="1">
        <w:r w:rsidR="00FA0C5D" w:rsidRPr="000F35BA">
          <w:rPr>
            <w:rStyle w:val="Hipervnculo"/>
            <w:noProof/>
          </w:rPr>
          <w:t>2.1 Proyección de los Archivos Centrales a nivel institucional</w:t>
        </w:r>
        <w:r w:rsidR="00FA0C5D">
          <w:rPr>
            <w:noProof/>
            <w:webHidden/>
          </w:rPr>
          <w:tab/>
        </w:r>
        <w:r w:rsidR="00FA0C5D">
          <w:rPr>
            <w:noProof/>
            <w:webHidden/>
          </w:rPr>
          <w:fldChar w:fldCharType="begin"/>
        </w:r>
        <w:r w:rsidR="00FA0C5D">
          <w:rPr>
            <w:noProof/>
            <w:webHidden/>
          </w:rPr>
          <w:instrText xml:space="preserve"> PAGEREF _Toc444697506 \h </w:instrText>
        </w:r>
        <w:r w:rsidR="00FA0C5D">
          <w:rPr>
            <w:noProof/>
            <w:webHidden/>
          </w:rPr>
        </w:r>
        <w:r w:rsidR="00FA0C5D">
          <w:rPr>
            <w:noProof/>
            <w:webHidden/>
          </w:rPr>
          <w:fldChar w:fldCharType="separate"/>
        </w:r>
        <w:r w:rsidR="00FA0C5D">
          <w:rPr>
            <w:noProof/>
            <w:webHidden/>
          </w:rPr>
          <w:t>9</w:t>
        </w:r>
        <w:r w:rsidR="00FA0C5D">
          <w:rPr>
            <w:noProof/>
            <w:webHidden/>
          </w:rPr>
          <w:fldChar w:fldCharType="end"/>
        </w:r>
      </w:hyperlink>
    </w:p>
    <w:p w14:paraId="69FC2ADD" w14:textId="77777777" w:rsidR="00FA0C5D" w:rsidRDefault="00861E10">
      <w:pPr>
        <w:pStyle w:val="TDC3"/>
        <w:tabs>
          <w:tab w:val="right" w:leader="underscore" w:pos="9062"/>
        </w:tabs>
        <w:rPr>
          <w:rFonts w:asciiTheme="minorHAnsi" w:eastAsiaTheme="minorEastAsia" w:hAnsiTheme="minorHAnsi" w:cstheme="minorBidi"/>
          <w:noProof/>
          <w:sz w:val="22"/>
          <w:szCs w:val="22"/>
          <w:lang w:val="es-CR" w:eastAsia="es-CR"/>
        </w:rPr>
      </w:pPr>
      <w:hyperlink w:anchor="_Toc444697507" w:history="1">
        <w:r w:rsidR="00FA0C5D" w:rsidRPr="000F35BA">
          <w:rPr>
            <w:rStyle w:val="Hipervnculo"/>
            <w:noProof/>
          </w:rPr>
          <w:t>2.2 Clasificación y ordenación documental</w:t>
        </w:r>
        <w:r w:rsidR="00FA0C5D">
          <w:rPr>
            <w:noProof/>
            <w:webHidden/>
          </w:rPr>
          <w:tab/>
        </w:r>
        <w:r w:rsidR="00FA0C5D">
          <w:rPr>
            <w:noProof/>
            <w:webHidden/>
          </w:rPr>
          <w:fldChar w:fldCharType="begin"/>
        </w:r>
        <w:r w:rsidR="00FA0C5D">
          <w:rPr>
            <w:noProof/>
            <w:webHidden/>
          </w:rPr>
          <w:instrText xml:space="preserve"> PAGEREF _Toc444697507 \h </w:instrText>
        </w:r>
        <w:r w:rsidR="00FA0C5D">
          <w:rPr>
            <w:noProof/>
            <w:webHidden/>
          </w:rPr>
        </w:r>
        <w:r w:rsidR="00FA0C5D">
          <w:rPr>
            <w:noProof/>
            <w:webHidden/>
          </w:rPr>
          <w:fldChar w:fldCharType="separate"/>
        </w:r>
        <w:r w:rsidR="00FA0C5D">
          <w:rPr>
            <w:noProof/>
            <w:webHidden/>
          </w:rPr>
          <w:t>12</w:t>
        </w:r>
        <w:r w:rsidR="00FA0C5D">
          <w:rPr>
            <w:noProof/>
            <w:webHidden/>
          </w:rPr>
          <w:fldChar w:fldCharType="end"/>
        </w:r>
      </w:hyperlink>
    </w:p>
    <w:p w14:paraId="0A054691" w14:textId="77777777" w:rsidR="00FA0C5D" w:rsidRDefault="00861E10">
      <w:pPr>
        <w:pStyle w:val="TDC3"/>
        <w:tabs>
          <w:tab w:val="right" w:leader="underscore" w:pos="9062"/>
        </w:tabs>
        <w:rPr>
          <w:rFonts w:asciiTheme="minorHAnsi" w:eastAsiaTheme="minorEastAsia" w:hAnsiTheme="minorHAnsi" w:cstheme="minorBidi"/>
          <w:noProof/>
          <w:sz w:val="22"/>
          <w:szCs w:val="22"/>
          <w:lang w:val="es-CR" w:eastAsia="es-CR"/>
        </w:rPr>
      </w:pPr>
      <w:hyperlink w:anchor="_Toc444697508" w:history="1">
        <w:r w:rsidR="00FA0C5D" w:rsidRPr="000F35BA">
          <w:rPr>
            <w:rStyle w:val="Hipervnculo"/>
            <w:noProof/>
          </w:rPr>
          <w:t>2.3 Descripción documental</w:t>
        </w:r>
        <w:r w:rsidR="00FA0C5D">
          <w:rPr>
            <w:noProof/>
            <w:webHidden/>
          </w:rPr>
          <w:tab/>
        </w:r>
        <w:r w:rsidR="00FA0C5D">
          <w:rPr>
            <w:noProof/>
            <w:webHidden/>
          </w:rPr>
          <w:fldChar w:fldCharType="begin"/>
        </w:r>
        <w:r w:rsidR="00FA0C5D">
          <w:rPr>
            <w:noProof/>
            <w:webHidden/>
          </w:rPr>
          <w:instrText xml:space="preserve"> PAGEREF _Toc444697508 \h </w:instrText>
        </w:r>
        <w:r w:rsidR="00FA0C5D">
          <w:rPr>
            <w:noProof/>
            <w:webHidden/>
          </w:rPr>
        </w:r>
        <w:r w:rsidR="00FA0C5D">
          <w:rPr>
            <w:noProof/>
            <w:webHidden/>
          </w:rPr>
          <w:fldChar w:fldCharType="separate"/>
        </w:r>
        <w:r w:rsidR="00FA0C5D">
          <w:rPr>
            <w:noProof/>
            <w:webHidden/>
          </w:rPr>
          <w:t>13</w:t>
        </w:r>
        <w:r w:rsidR="00FA0C5D">
          <w:rPr>
            <w:noProof/>
            <w:webHidden/>
          </w:rPr>
          <w:fldChar w:fldCharType="end"/>
        </w:r>
      </w:hyperlink>
    </w:p>
    <w:p w14:paraId="0770D9D5" w14:textId="77777777" w:rsidR="00FA0C5D" w:rsidRDefault="00861E10">
      <w:pPr>
        <w:pStyle w:val="TDC2"/>
        <w:tabs>
          <w:tab w:val="right" w:leader="underscore" w:pos="9062"/>
        </w:tabs>
        <w:rPr>
          <w:rFonts w:asciiTheme="minorHAnsi" w:eastAsiaTheme="minorEastAsia" w:hAnsiTheme="minorHAnsi" w:cstheme="minorBidi"/>
          <w:b w:val="0"/>
          <w:bCs w:val="0"/>
          <w:noProof/>
          <w:sz w:val="22"/>
          <w:szCs w:val="22"/>
          <w:lang w:val="es-CR" w:eastAsia="es-CR"/>
        </w:rPr>
      </w:pPr>
      <w:hyperlink w:anchor="_Toc444697509" w:history="1">
        <w:r w:rsidR="00FA0C5D" w:rsidRPr="000F35BA">
          <w:rPr>
            <w:rStyle w:val="Hipervnculo"/>
            <w:rFonts w:ascii="Verdana" w:hAnsi="Verdana"/>
            <w:noProof/>
          </w:rPr>
          <w:t>3. Valoración y Selección Documental</w:t>
        </w:r>
        <w:r w:rsidR="00FA0C5D">
          <w:rPr>
            <w:noProof/>
            <w:webHidden/>
          </w:rPr>
          <w:tab/>
        </w:r>
        <w:r w:rsidR="00FA0C5D">
          <w:rPr>
            <w:noProof/>
            <w:webHidden/>
          </w:rPr>
          <w:fldChar w:fldCharType="begin"/>
        </w:r>
        <w:r w:rsidR="00FA0C5D">
          <w:rPr>
            <w:noProof/>
            <w:webHidden/>
          </w:rPr>
          <w:instrText xml:space="preserve"> PAGEREF _Toc444697509 \h </w:instrText>
        </w:r>
        <w:r w:rsidR="00FA0C5D">
          <w:rPr>
            <w:noProof/>
            <w:webHidden/>
          </w:rPr>
        </w:r>
        <w:r w:rsidR="00FA0C5D">
          <w:rPr>
            <w:noProof/>
            <w:webHidden/>
          </w:rPr>
          <w:fldChar w:fldCharType="separate"/>
        </w:r>
        <w:r w:rsidR="00FA0C5D">
          <w:rPr>
            <w:noProof/>
            <w:webHidden/>
          </w:rPr>
          <w:t>15</w:t>
        </w:r>
        <w:r w:rsidR="00FA0C5D">
          <w:rPr>
            <w:noProof/>
            <w:webHidden/>
          </w:rPr>
          <w:fldChar w:fldCharType="end"/>
        </w:r>
      </w:hyperlink>
    </w:p>
    <w:p w14:paraId="0F6179DA" w14:textId="77777777" w:rsidR="00FA0C5D" w:rsidRDefault="00861E10">
      <w:pPr>
        <w:pStyle w:val="TDC2"/>
        <w:tabs>
          <w:tab w:val="right" w:leader="underscore" w:pos="9062"/>
        </w:tabs>
        <w:rPr>
          <w:rFonts w:asciiTheme="minorHAnsi" w:eastAsiaTheme="minorEastAsia" w:hAnsiTheme="minorHAnsi" w:cstheme="minorBidi"/>
          <w:b w:val="0"/>
          <w:bCs w:val="0"/>
          <w:noProof/>
          <w:sz w:val="22"/>
          <w:szCs w:val="22"/>
          <w:lang w:val="es-CR" w:eastAsia="es-CR"/>
        </w:rPr>
      </w:pPr>
      <w:hyperlink w:anchor="_Toc444697510" w:history="1">
        <w:r w:rsidR="00FA0C5D" w:rsidRPr="000F35BA">
          <w:rPr>
            <w:rStyle w:val="Hipervnculo"/>
            <w:rFonts w:ascii="Verdana" w:hAnsi="Verdana"/>
            <w:noProof/>
          </w:rPr>
          <w:t>4. Servicios brindados por los Archivos Centrales</w:t>
        </w:r>
        <w:r w:rsidR="00FA0C5D">
          <w:rPr>
            <w:noProof/>
            <w:webHidden/>
          </w:rPr>
          <w:tab/>
        </w:r>
        <w:r w:rsidR="00FA0C5D">
          <w:rPr>
            <w:noProof/>
            <w:webHidden/>
          </w:rPr>
          <w:fldChar w:fldCharType="begin"/>
        </w:r>
        <w:r w:rsidR="00FA0C5D">
          <w:rPr>
            <w:noProof/>
            <w:webHidden/>
          </w:rPr>
          <w:instrText xml:space="preserve"> PAGEREF _Toc444697510 \h </w:instrText>
        </w:r>
        <w:r w:rsidR="00FA0C5D">
          <w:rPr>
            <w:noProof/>
            <w:webHidden/>
          </w:rPr>
        </w:r>
        <w:r w:rsidR="00FA0C5D">
          <w:rPr>
            <w:noProof/>
            <w:webHidden/>
          </w:rPr>
          <w:fldChar w:fldCharType="separate"/>
        </w:r>
        <w:r w:rsidR="00FA0C5D">
          <w:rPr>
            <w:noProof/>
            <w:webHidden/>
          </w:rPr>
          <w:t>17</w:t>
        </w:r>
        <w:r w:rsidR="00FA0C5D">
          <w:rPr>
            <w:noProof/>
            <w:webHidden/>
          </w:rPr>
          <w:fldChar w:fldCharType="end"/>
        </w:r>
      </w:hyperlink>
    </w:p>
    <w:p w14:paraId="298C5FE3" w14:textId="77777777" w:rsidR="00FA0C5D" w:rsidRDefault="00861E10">
      <w:pPr>
        <w:pStyle w:val="TDC2"/>
        <w:tabs>
          <w:tab w:val="right" w:leader="underscore" w:pos="9062"/>
        </w:tabs>
        <w:rPr>
          <w:rFonts w:asciiTheme="minorHAnsi" w:eastAsiaTheme="minorEastAsia" w:hAnsiTheme="minorHAnsi" w:cstheme="minorBidi"/>
          <w:b w:val="0"/>
          <w:bCs w:val="0"/>
          <w:noProof/>
          <w:sz w:val="22"/>
          <w:szCs w:val="22"/>
          <w:lang w:val="es-CR" w:eastAsia="es-CR"/>
        </w:rPr>
      </w:pPr>
      <w:hyperlink w:anchor="_Toc444697511" w:history="1">
        <w:r w:rsidR="00FA0C5D" w:rsidRPr="000F35BA">
          <w:rPr>
            <w:rStyle w:val="Hipervnculo"/>
            <w:rFonts w:ascii="Verdana" w:hAnsi="Verdana"/>
            <w:noProof/>
          </w:rPr>
          <w:t>5. Infraestructura del Archivo Central y conservación documental</w:t>
        </w:r>
        <w:r w:rsidR="00FA0C5D">
          <w:rPr>
            <w:noProof/>
            <w:webHidden/>
          </w:rPr>
          <w:tab/>
        </w:r>
        <w:r w:rsidR="00FA0C5D">
          <w:rPr>
            <w:noProof/>
            <w:webHidden/>
          </w:rPr>
          <w:fldChar w:fldCharType="begin"/>
        </w:r>
        <w:r w:rsidR="00FA0C5D">
          <w:rPr>
            <w:noProof/>
            <w:webHidden/>
          </w:rPr>
          <w:instrText xml:space="preserve"> PAGEREF _Toc444697511 \h </w:instrText>
        </w:r>
        <w:r w:rsidR="00FA0C5D">
          <w:rPr>
            <w:noProof/>
            <w:webHidden/>
          </w:rPr>
        </w:r>
        <w:r w:rsidR="00FA0C5D">
          <w:rPr>
            <w:noProof/>
            <w:webHidden/>
          </w:rPr>
          <w:fldChar w:fldCharType="separate"/>
        </w:r>
        <w:r w:rsidR="00FA0C5D">
          <w:rPr>
            <w:noProof/>
            <w:webHidden/>
          </w:rPr>
          <w:t>19</w:t>
        </w:r>
        <w:r w:rsidR="00FA0C5D">
          <w:rPr>
            <w:noProof/>
            <w:webHidden/>
          </w:rPr>
          <w:fldChar w:fldCharType="end"/>
        </w:r>
      </w:hyperlink>
    </w:p>
    <w:p w14:paraId="09474A14" w14:textId="77777777" w:rsidR="00FA0C5D" w:rsidRDefault="00861E10">
      <w:pPr>
        <w:pStyle w:val="TDC2"/>
        <w:tabs>
          <w:tab w:val="right" w:leader="underscore" w:pos="9062"/>
        </w:tabs>
        <w:rPr>
          <w:rFonts w:asciiTheme="minorHAnsi" w:eastAsiaTheme="minorEastAsia" w:hAnsiTheme="minorHAnsi" w:cstheme="minorBidi"/>
          <w:b w:val="0"/>
          <w:bCs w:val="0"/>
          <w:noProof/>
          <w:sz w:val="22"/>
          <w:szCs w:val="22"/>
          <w:lang w:val="es-CR" w:eastAsia="es-CR"/>
        </w:rPr>
      </w:pPr>
      <w:hyperlink w:anchor="_Toc444697512" w:history="1">
        <w:r w:rsidR="00FA0C5D" w:rsidRPr="000F35BA">
          <w:rPr>
            <w:rStyle w:val="Hipervnculo"/>
            <w:rFonts w:ascii="Verdana" w:hAnsi="Verdana"/>
            <w:noProof/>
          </w:rPr>
          <w:t>6. Normativa relacionada con nuevos soportes documentales</w:t>
        </w:r>
        <w:r w:rsidR="00FA0C5D">
          <w:rPr>
            <w:noProof/>
            <w:webHidden/>
          </w:rPr>
          <w:tab/>
        </w:r>
        <w:r w:rsidR="00FA0C5D">
          <w:rPr>
            <w:noProof/>
            <w:webHidden/>
          </w:rPr>
          <w:fldChar w:fldCharType="begin"/>
        </w:r>
        <w:r w:rsidR="00FA0C5D">
          <w:rPr>
            <w:noProof/>
            <w:webHidden/>
          </w:rPr>
          <w:instrText xml:space="preserve"> PAGEREF _Toc444697512 \h </w:instrText>
        </w:r>
        <w:r w:rsidR="00FA0C5D">
          <w:rPr>
            <w:noProof/>
            <w:webHidden/>
          </w:rPr>
        </w:r>
        <w:r w:rsidR="00FA0C5D">
          <w:rPr>
            <w:noProof/>
            <w:webHidden/>
          </w:rPr>
          <w:fldChar w:fldCharType="separate"/>
        </w:r>
        <w:r w:rsidR="00FA0C5D">
          <w:rPr>
            <w:noProof/>
            <w:webHidden/>
          </w:rPr>
          <w:t>20</w:t>
        </w:r>
        <w:r w:rsidR="00FA0C5D">
          <w:rPr>
            <w:noProof/>
            <w:webHidden/>
          </w:rPr>
          <w:fldChar w:fldCharType="end"/>
        </w:r>
      </w:hyperlink>
    </w:p>
    <w:p w14:paraId="0EF1A71A" w14:textId="77777777" w:rsidR="00FA0C5D" w:rsidRDefault="00861E10">
      <w:pPr>
        <w:pStyle w:val="TDC1"/>
        <w:rPr>
          <w:rFonts w:asciiTheme="minorHAnsi" w:eastAsiaTheme="minorEastAsia" w:hAnsiTheme="minorHAnsi" w:cstheme="minorBidi"/>
          <w:b w:val="0"/>
          <w:bCs w:val="0"/>
          <w:i w:val="0"/>
          <w:iCs w:val="0"/>
          <w:szCs w:val="22"/>
          <w:lang w:val="es-CR" w:eastAsia="es-CR"/>
        </w:rPr>
      </w:pPr>
      <w:hyperlink w:anchor="_Toc444697513" w:history="1">
        <w:r w:rsidR="00FA0C5D" w:rsidRPr="000F35BA">
          <w:rPr>
            <w:rStyle w:val="Hipervnculo"/>
          </w:rPr>
          <w:t>VII. Conclusiones</w:t>
        </w:r>
        <w:r w:rsidR="00FA0C5D">
          <w:rPr>
            <w:webHidden/>
          </w:rPr>
          <w:tab/>
        </w:r>
        <w:r w:rsidR="00FA0C5D">
          <w:rPr>
            <w:webHidden/>
          </w:rPr>
          <w:fldChar w:fldCharType="begin"/>
        </w:r>
        <w:r w:rsidR="00FA0C5D">
          <w:rPr>
            <w:webHidden/>
          </w:rPr>
          <w:instrText xml:space="preserve"> PAGEREF _Toc444697513 \h </w:instrText>
        </w:r>
        <w:r w:rsidR="00FA0C5D">
          <w:rPr>
            <w:webHidden/>
          </w:rPr>
        </w:r>
        <w:r w:rsidR="00FA0C5D">
          <w:rPr>
            <w:webHidden/>
          </w:rPr>
          <w:fldChar w:fldCharType="separate"/>
        </w:r>
        <w:r w:rsidR="00FA0C5D">
          <w:rPr>
            <w:webHidden/>
          </w:rPr>
          <w:t>23</w:t>
        </w:r>
        <w:r w:rsidR="00FA0C5D">
          <w:rPr>
            <w:webHidden/>
          </w:rPr>
          <w:fldChar w:fldCharType="end"/>
        </w:r>
      </w:hyperlink>
    </w:p>
    <w:p w14:paraId="67A44F02" w14:textId="77777777" w:rsidR="00FA0C5D" w:rsidRDefault="00861E10">
      <w:pPr>
        <w:pStyle w:val="TDC1"/>
        <w:rPr>
          <w:rFonts w:asciiTheme="minorHAnsi" w:eastAsiaTheme="minorEastAsia" w:hAnsiTheme="minorHAnsi" w:cstheme="minorBidi"/>
          <w:b w:val="0"/>
          <w:bCs w:val="0"/>
          <w:i w:val="0"/>
          <w:iCs w:val="0"/>
          <w:szCs w:val="22"/>
          <w:lang w:val="es-CR" w:eastAsia="es-CR"/>
        </w:rPr>
      </w:pPr>
      <w:hyperlink w:anchor="_Toc444697514" w:history="1">
        <w:r w:rsidR="00FA0C5D" w:rsidRPr="000F35BA">
          <w:rPr>
            <w:rStyle w:val="Hipervnculo"/>
          </w:rPr>
          <w:t>VIII. Recomendaciones</w:t>
        </w:r>
        <w:r w:rsidR="00FA0C5D">
          <w:rPr>
            <w:webHidden/>
          </w:rPr>
          <w:tab/>
        </w:r>
        <w:r w:rsidR="00FA0C5D">
          <w:rPr>
            <w:webHidden/>
          </w:rPr>
          <w:fldChar w:fldCharType="begin"/>
        </w:r>
        <w:r w:rsidR="00FA0C5D">
          <w:rPr>
            <w:webHidden/>
          </w:rPr>
          <w:instrText xml:space="preserve"> PAGEREF _Toc444697514 \h </w:instrText>
        </w:r>
        <w:r w:rsidR="00FA0C5D">
          <w:rPr>
            <w:webHidden/>
          </w:rPr>
        </w:r>
        <w:r w:rsidR="00FA0C5D">
          <w:rPr>
            <w:webHidden/>
          </w:rPr>
          <w:fldChar w:fldCharType="separate"/>
        </w:r>
        <w:r w:rsidR="00FA0C5D">
          <w:rPr>
            <w:webHidden/>
          </w:rPr>
          <w:t>27</w:t>
        </w:r>
        <w:r w:rsidR="00FA0C5D">
          <w:rPr>
            <w:webHidden/>
          </w:rPr>
          <w:fldChar w:fldCharType="end"/>
        </w:r>
      </w:hyperlink>
    </w:p>
    <w:p w14:paraId="2F9D5807" w14:textId="77777777" w:rsidR="006A6EA9" w:rsidRPr="00485619" w:rsidRDefault="006A6EA9" w:rsidP="00485619">
      <w:pPr>
        <w:pStyle w:val="Ttulo1"/>
        <w:spacing w:line="276" w:lineRule="auto"/>
        <w:jc w:val="both"/>
        <w:rPr>
          <w:rFonts w:ascii="Verdana" w:hAnsi="Verdana"/>
          <w:sz w:val="24"/>
          <w:szCs w:val="24"/>
        </w:rPr>
      </w:pPr>
      <w:r w:rsidRPr="00485619">
        <w:rPr>
          <w:rFonts w:ascii="Verdana" w:hAnsi="Verdana"/>
          <w:sz w:val="24"/>
          <w:szCs w:val="24"/>
          <w:highlight w:val="yellow"/>
        </w:rPr>
        <w:fldChar w:fldCharType="end"/>
      </w:r>
      <w:r w:rsidRPr="00485619">
        <w:rPr>
          <w:rFonts w:ascii="Verdana" w:hAnsi="Verdana"/>
          <w:sz w:val="24"/>
          <w:szCs w:val="24"/>
        </w:rPr>
        <w:br w:type="page"/>
      </w:r>
      <w:bookmarkStart w:id="1" w:name="_Toc444697498"/>
      <w:r w:rsidRPr="00485619">
        <w:rPr>
          <w:rFonts w:ascii="Verdana" w:hAnsi="Verdana"/>
          <w:sz w:val="24"/>
          <w:szCs w:val="24"/>
        </w:rPr>
        <w:lastRenderedPageBreak/>
        <w:t>I. Introducción</w:t>
      </w:r>
      <w:bookmarkEnd w:id="1"/>
    </w:p>
    <w:p w14:paraId="4246C222"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2E403758" w14:textId="77777777" w:rsidR="00485619" w:rsidRPr="00485619" w:rsidRDefault="00485619" w:rsidP="00485619">
      <w:pPr>
        <w:spacing w:after="0" w:line="240" w:lineRule="auto"/>
        <w:jc w:val="both"/>
        <w:rPr>
          <w:rFonts w:ascii="Verdana" w:eastAsia="Times New Roman" w:hAnsi="Verdana" w:cs="Times New Roman"/>
          <w:sz w:val="24"/>
          <w:szCs w:val="24"/>
          <w:lang w:val="es-ES" w:eastAsia="es-ES"/>
        </w:rPr>
      </w:pPr>
    </w:p>
    <w:p w14:paraId="2F927808" w14:textId="3277DAF2"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Este informe toma como insumo los datos proporcionados por las instituciones </w:t>
      </w:r>
      <w:r w:rsidR="00A50186" w:rsidRPr="00485619">
        <w:rPr>
          <w:rFonts w:ascii="Verdana" w:eastAsia="Times New Roman" w:hAnsi="Verdana" w:cs="Times New Roman"/>
          <w:sz w:val="24"/>
          <w:szCs w:val="24"/>
          <w:lang w:val="es-ES" w:eastAsia="es-ES"/>
        </w:rPr>
        <w:t xml:space="preserve">que forman parte </w:t>
      </w:r>
      <w:r w:rsidRPr="00485619">
        <w:rPr>
          <w:rFonts w:ascii="Verdana" w:eastAsia="Times New Roman" w:hAnsi="Verdana" w:cs="Times New Roman"/>
          <w:sz w:val="24"/>
          <w:szCs w:val="24"/>
          <w:lang w:val="es-ES" w:eastAsia="es-ES"/>
        </w:rPr>
        <w:t xml:space="preserve">del Sistema Nacional de Archivos </w:t>
      </w:r>
      <w:r w:rsidR="00A50186" w:rsidRPr="00485619">
        <w:rPr>
          <w:rFonts w:ascii="Verdana" w:eastAsia="Times New Roman" w:hAnsi="Verdana" w:cs="Times New Roman"/>
          <w:sz w:val="24"/>
          <w:szCs w:val="24"/>
          <w:lang w:val="es-ES" w:eastAsia="es-ES"/>
        </w:rPr>
        <w:t>y que remitieron</w:t>
      </w:r>
      <w:r w:rsidRPr="00485619">
        <w:rPr>
          <w:rFonts w:ascii="Verdana" w:eastAsia="Times New Roman" w:hAnsi="Verdana" w:cs="Times New Roman"/>
          <w:sz w:val="24"/>
          <w:szCs w:val="24"/>
          <w:lang w:val="es-ES" w:eastAsia="es-ES"/>
        </w:rPr>
        <w:t xml:space="preserve"> el informe de des</w:t>
      </w:r>
      <w:r w:rsidR="00E60ACA" w:rsidRPr="00485619">
        <w:rPr>
          <w:rFonts w:ascii="Verdana" w:eastAsia="Times New Roman" w:hAnsi="Verdana" w:cs="Times New Roman"/>
          <w:sz w:val="24"/>
          <w:szCs w:val="24"/>
          <w:lang w:val="es-ES" w:eastAsia="es-ES"/>
        </w:rPr>
        <w:t xml:space="preserve">arrollo archivístico </w:t>
      </w:r>
      <w:r w:rsidR="00A94DB9" w:rsidRPr="00485619">
        <w:rPr>
          <w:rFonts w:ascii="Verdana" w:eastAsia="Times New Roman" w:hAnsi="Verdana" w:cs="Times New Roman"/>
          <w:sz w:val="24"/>
          <w:szCs w:val="24"/>
          <w:lang w:val="es-ES" w:eastAsia="es-ES"/>
        </w:rPr>
        <w:t xml:space="preserve">en </w:t>
      </w:r>
      <w:r w:rsidR="00E60ACA" w:rsidRPr="00485619">
        <w:rPr>
          <w:rFonts w:ascii="Verdana" w:eastAsia="Times New Roman" w:hAnsi="Verdana" w:cs="Times New Roman"/>
          <w:sz w:val="24"/>
          <w:szCs w:val="24"/>
          <w:lang w:val="es-ES" w:eastAsia="es-ES"/>
        </w:rPr>
        <w:t>el año 2015</w:t>
      </w:r>
      <w:r w:rsidRPr="00485619">
        <w:rPr>
          <w:rFonts w:ascii="Verdana" w:eastAsia="Times New Roman" w:hAnsi="Verdana" w:cs="Times New Roman"/>
          <w:sz w:val="24"/>
          <w:szCs w:val="24"/>
          <w:lang w:val="es-ES" w:eastAsia="es-ES"/>
        </w:rPr>
        <w:t xml:space="preserve">, en cumplimiento del artículo 42, inciso j de la Ley Nº 7202 del Sistema Nacional de Archivos, el cual establece:   </w:t>
      </w:r>
    </w:p>
    <w:p w14:paraId="2113910B"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06B00713" w14:textId="77777777" w:rsidR="006A6EA9" w:rsidRPr="00485619" w:rsidRDefault="006A6EA9" w:rsidP="00485619">
      <w:pPr>
        <w:spacing w:after="0" w:line="240" w:lineRule="auto"/>
        <w:ind w:left="567"/>
        <w:jc w:val="both"/>
        <w:rPr>
          <w:rFonts w:ascii="Verdana" w:eastAsia="Times New Roman" w:hAnsi="Verdana" w:cs="Times New Roman"/>
          <w:i/>
          <w:iCs/>
          <w:sz w:val="24"/>
          <w:szCs w:val="24"/>
          <w:lang w:val="es-ES" w:eastAsia="es-ES"/>
        </w:rPr>
      </w:pPr>
      <w:r w:rsidRPr="00485619">
        <w:rPr>
          <w:rFonts w:ascii="Verdana" w:eastAsia="Times New Roman" w:hAnsi="Verdana" w:cs="Times New Roman"/>
          <w:i/>
          <w:iCs/>
          <w:sz w:val="24"/>
          <w:szCs w:val="24"/>
          <w:lang w:val="es-ES" w:eastAsia="es-ES"/>
        </w:rPr>
        <w:t>“Rendir un informe anual a la Dirección General del Archivo Nacional sobre el desarrollo archivístico de la institución. Esta Dirección dará a conocer los resultados a la Junta Administrativa del Archivo Nacional.”</w:t>
      </w:r>
    </w:p>
    <w:p w14:paraId="2A0C2099"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2E4B4601"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Los ejes temáticos evaluados en el presente informe son los siguientes: </w:t>
      </w:r>
    </w:p>
    <w:p w14:paraId="18C96597"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014B0170" w14:textId="77777777" w:rsidR="006A6EA9" w:rsidRPr="00485619" w:rsidRDefault="006A6EA9" w:rsidP="00485619">
      <w:pPr>
        <w:numPr>
          <w:ilvl w:val="0"/>
          <w:numId w:val="43"/>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Recurso Humano</w:t>
      </w:r>
    </w:p>
    <w:p w14:paraId="3582E647" w14:textId="20FBD4E1" w:rsidR="006A6EA9" w:rsidRPr="00485619" w:rsidRDefault="006A6EA9" w:rsidP="00485619">
      <w:pPr>
        <w:numPr>
          <w:ilvl w:val="0"/>
          <w:numId w:val="43"/>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Organización del fondo documental</w:t>
      </w:r>
      <w:r w:rsidR="00485619" w:rsidRPr="00485619">
        <w:rPr>
          <w:rFonts w:ascii="Verdana" w:eastAsia="Times New Roman" w:hAnsi="Verdana" w:cs="Times New Roman"/>
          <w:sz w:val="24"/>
          <w:szCs w:val="24"/>
          <w:lang w:val="es-ES" w:eastAsia="es-ES"/>
        </w:rPr>
        <w:t>:</w:t>
      </w:r>
    </w:p>
    <w:p w14:paraId="504C7A47" w14:textId="77777777" w:rsidR="00485619" w:rsidRPr="00485619" w:rsidRDefault="00485619" w:rsidP="00485619">
      <w:pPr>
        <w:spacing w:after="0" w:line="240" w:lineRule="auto"/>
        <w:ind w:left="1068"/>
        <w:jc w:val="both"/>
        <w:rPr>
          <w:rFonts w:ascii="Verdana" w:eastAsia="Times New Roman" w:hAnsi="Verdana" w:cs="Times New Roman"/>
          <w:sz w:val="24"/>
          <w:szCs w:val="24"/>
          <w:lang w:val="es-ES" w:eastAsia="es-ES"/>
        </w:rPr>
      </w:pPr>
    </w:p>
    <w:p w14:paraId="79C8FB4C" w14:textId="77777777" w:rsidR="0073074A" w:rsidRPr="00485619" w:rsidRDefault="0073074A" w:rsidP="00485619">
      <w:pPr>
        <w:numPr>
          <w:ilvl w:val="2"/>
          <w:numId w:val="45"/>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Proyección de los archivos a nivel institucional</w:t>
      </w:r>
    </w:p>
    <w:p w14:paraId="2E5D7F2F" w14:textId="77777777" w:rsidR="00404D0B" w:rsidRPr="00485619" w:rsidRDefault="00404D0B" w:rsidP="00485619">
      <w:pPr>
        <w:numPr>
          <w:ilvl w:val="2"/>
          <w:numId w:val="45"/>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Clasificación y Ordenación Documental</w:t>
      </w:r>
    </w:p>
    <w:p w14:paraId="53E4E931" w14:textId="77777777" w:rsidR="0073074A" w:rsidRPr="00485619" w:rsidRDefault="0073074A" w:rsidP="00485619">
      <w:pPr>
        <w:numPr>
          <w:ilvl w:val="2"/>
          <w:numId w:val="45"/>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Descripción Documental</w:t>
      </w:r>
    </w:p>
    <w:p w14:paraId="78228278" w14:textId="77777777" w:rsidR="00485619" w:rsidRPr="00485619" w:rsidRDefault="00485619" w:rsidP="00485619">
      <w:pPr>
        <w:spacing w:after="0" w:line="240" w:lineRule="auto"/>
        <w:ind w:left="2148"/>
        <w:jc w:val="both"/>
        <w:rPr>
          <w:rFonts w:ascii="Verdana" w:eastAsia="Times New Roman" w:hAnsi="Verdana" w:cs="Times New Roman"/>
          <w:sz w:val="24"/>
          <w:szCs w:val="24"/>
          <w:lang w:val="es-ES" w:eastAsia="es-ES"/>
        </w:rPr>
      </w:pPr>
    </w:p>
    <w:p w14:paraId="0FD2E2B5" w14:textId="77777777" w:rsidR="006A6EA9" w:rsidRPr="00485619" w:rsidRDefault="006A6EA9" w:rsidP="00485619">
      <w:pPr>
        <w:numPr>
          <w:ilvl w:val="0"/>
          <w:numId w:val="42"/>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Valoración y selección documental</w:t>
      </w:r>
    </w:p>
    <w:p w14:paraId="284FEE6E" w14:textId="77777777" w:rsidR="006A6EA9" w:rsidRPr="00485619" w:rsidRDefault="006A6EA9" w:rsidP="00485619">
      <w:pPr>
        <w:numPr>
          <w:ilvl w:val="0"/>
          <w:numId w:val="42"/>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Servicios brindados por los Archivos Centrales</w:t>
      </w:r>
    </w:p>
    <w:p w14:paraId="1D7AC00A" w14:textId="77777777" w:rsidR="006A6EA9" w:rsidRPr="00485619" w:rsidRDefault="006A6EA9" w:rsidP="00485619">
      <w:pPr>
        <w:numPr>
          <w:ilvl w:val="0"/>
          <w:numId w:val="42"/>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Infraestructura y conservación documental </w:t>
      </w:r>
    </w:p>
    <w:p w14:paraId="0925FD74" w14:textId="77777777" w:rsidR="006A6EA9" w:rsidRPr="00485619" w:rsidRDefault="006A6EA9" w:rsidP="00485619">
      <w:pPr>
        <w:numPr>
          <w:ilvl w:val="0"/>
          <w:numId w:val="42"/>
        </w:numPr>
        <w:spacing w:after="0" w:line="240" w:lineRule="auto"/>
        <w:jc w:val="both"/>
        <w:rPr>
          <w:rFonts w:ascii="Verdana" w:eastAsia="Times New Roman" w:hAnsi="Verdana" w:cs="Arial"/>
          <w:bCs/>
          <w:sz w:val="24"/>
          <w:szCs w:val="24"/>
          <w:lang w:val="es-ES" w:eastAsia="es-ES"/>
        </w:rPr>
      </w:pPr>
      <w:r w:rsidRPr="00485619">
        <w:rPr>
          <w:rFonts w:ascii="Verdana" w:eastAsia="Times New Roman" w:hAnsi="Verdana" w:cs="Times New Roman"/>
          <w:bCs/>
          <w:sz w:val="24"/>
          <w:szCs w:val="24"/>
          <w:lang w:val="es-ES" w:eastAsia="es-ES"/>
        </w:rPr>
        <w:t xml:space="preserve">Normativa relacionada con nuevos soportes documentales </w:t>
      </w:r>
      <w:r w:rsidRPr="00485619">
        <w:rPr>
          <w:rFonts w:ascii="Verdana" w:eastAsia="Times New Roman" w:hAnsi="Verdana" w:cs="Arial"/>
          <w:bCs/>
          <w:sz w:val="24"/>
          <w:szCs w:val="24"/>
          <w:lang w:val="es-ES" w:eastAsia="es-ES"/>
        </w:rPr>
        <w:t xml:space="preserve"> </w:t>
      </w:r>
    </w:p>
    <w:p w14:paraId="1178F900" w14:textId="77777777" w:rsidR="006A6EA9" w:rsidRPr="00485619" w:rsidRDefault="006A6EA9" w:rsidP="00485619">
      <w:pPr>
        <w:spacing w:after="0" w:line="240" w:lineRule="auto"/>
        <w:jc w:val="both"/>
        <w:rPr>
          <w:rFonts w:ascii="Verdana" w:eastAsia="Times New Roman" w:hAnsi="Verdana" w:cs="Arial"/>
          <w:sz w:val="24"/>
          <w:szCs w:val="24"/>
          <w:lang w:val="es-ES" w:eastAsia="es-ES"/>
        </w:rPr>
      </w:pPr>
    </w:p>
    <w:p w14:paraId="68F52EC4" w14:textId="77777777" w:rsidR="003E263F" w:rsidRPr="00485619" w:rsidRDefault="003E263F" w:rsidP="00485619">
      <w:pPr>
        <w:spacing w:after="0" w:line="240" w:lineRule="auto"/>
        <w:jc w:val="both"/>
        <w:rPr>
          <w:rFonts w:ascii="Verdana" w:eastAsia="Times New Roman" w:hAnsi="Verdana" w:cs="Arial"/>
          <w:sz w:val="24"/>
          <w:szCs w:val="24"/>
          <w:lang w:val="es-ES" w:eastAsia="es-ES"/>
        </w:rPr>
      </w:pPr>
    </w:p>
    <w:p w14:paraId="21101722" w14:textId="77777777" w:rsidR="006A6EA9" w:rsidRPr="00485619" w:rsidRDefault="006A6EA9" w:rsidP="00485619">
      <w:pPr>
        <w:pStyle w:val="Ttulo1"/>
        <w:jc w:val="both"/>
        <w:rPr>
          <w:rFonts w:ascii="Verdana" w:hAnsi="Verdana"/>
          <w:sz w:val="24"/>
          <w:szCs w:val="24"/>
        </w:rPr>
      </w:pPr>
      <w:bookmarkStart w:id="2" w:name="_Toc444697499"/>
      <w:r w:rsidRPr="00485619">
        <w:rPr>
          <w:rFonts w:ascii="Verdana" w:hAnsi="Verdana"/>
          <w:sz w:val="24"/>
          <w:szCs w:val="24"/>
        </w:rPr>
        <w:t>II. Objetivos</w:t>
      </w:r>
      <w:bookmarkEnd w:id="2"/>
    </w:p>
    <w:p w14:paraId="0154257C"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4C28B249" w14:textId="77777777" w:rsidR="00485619" w:rsidRPr="00485619" w:rsidRDefault="00485619" w:rsidP="00485619">
      <w:pPr>
        <w:spacing w:after="0" w:line="240" w:lineRule="auto"/>
        <w:jc w:val="both"/>
        <w:rPr>
          <w:rFonts w:ascii="Verdana" w:eastAsia="Times New Roman" w:hAnsi="Verdana" w:cs="Times New Roman"/>
          <w:sz w:val="24"/>
          <w:szCs w:val="24"/>
          <w:lang w:val="es-ES" w:eastAsia="es-ES"/>
        </w:rPr>
      </w:pPr>
    </w:p>
    <w:p w14:paraId="142EA705" w14:textId="77777777" w:rsidR="006A6EA9" w:rsidRPr="00485619" w:rsidRDefault="006A6EA9" w:rsidP="00485619">
      <w:pPr>
        <w:numPr>
          <w:ilvl w:val="0"/>
          <w:numId w:val="2"/>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Analizar los resultados de los informes de desarrollo archivístico que remiten las instituciones del Sistema Nacional de Archivos, con la finalidad de conocer el avance en materia archivística a nivel nacional. </w:t>
      </w:r>
    </w:p>
    <w:p w14:paraId="5CCA1B4B"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50860597" w14:textId="77777777" w:rsidR="006A6EA9" w:rsidRPr="00485619" w:rsidRDefault="006A6EA9" w:rsidP="00485619">
      <w:pPr>
        <w:numPr>
          <w:ilvl w:val="0"/>
          <w:numId w:val="2"/>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Brindar un insumo que facilite la planificación y la toma de decisiones de la Junta Administrativa y la Dirección General del Archivo Nacional en el ejercicio de la Rectoría del Sistema Nacional de Archivos.</w:t>
      </w:r>
    </w:p>
    <w:p w14:paraId="24E5F13D" w14:textId="1F389E22" w:rsidR="00485619" w:rsidRDefault="00485619" w:rsidP="00485619">
      <w:pPr>
        <w:jc w:val="both"/>
        <w:rPr>
          <w:rFonts w:ascii="Verdana" w:eastAsia="Times New Roman" w:hAnsi="Verdana" w:cs="Times New Roman"/>
          <w:b/>
          <w:bCs/>
          <w:sz w:val="24"/>
          <w:szCs w:val="24"/>
          <w:lang w:val="es-ES" w:eastAsia="es-ES"/>
        </w:rPr>
      </w:pPr>
    </w:p>
    <w:p w14:paraId="1F391EAC" w14:textId="77777777" w:rsidR="00ED16F5" w:rsidRDefault="00ED16F5" w:rsidP="00485619">
      <w:pPr>
        <w:jc w:val="both"/>
        <w:rPr>
          <w:rFonts w:ascii="Verdana" w:eastAsia="Times New Roman" w:hAnsi="Verdana" w:cs="Times New Roman"/>
          <w:b/>
          <w:bCs/>
          <w:sz w:val="24"/>
          <w:szCs w:val="24"/>
          <w:lang w:val="es-ES" w:eastAsia="es-ES"/>
        </w:rPr>
      </w:pPr>
    </w:p>
    <w:p w14:paraId="2E1A0911" w14:textId="77777777" w:rsidR="002A3CBC" w:rsidRPr="00485619" w:rsidRDefault="002A3CBC" w:rsidP="00485619">
      <w:pPr>
        <w:jc w:val="both"/>
        <w:rPr>
          <w:rFonts w:ascii="Verdana" w:eastAsia="Times New Roman" w:hAnsi="Verdana" w:cs="Times New Roman"/>
          <w:b/>
          <w:bCs/>
          <w:sz w:val="24"/>
          <w:szCs w:val="24"/>
          <w:lang w:val="es-ES" w:eastAsia="es-ES"/>
        </w:rPr>
      </w:pPr>
    </w:p>
    <w:p w14:paraId="2464725A" w14:textId="77777777" w:rsidR="006A6EA9" w:rsidRPr="00485619" w:rsidRDefault="006A6EA9" w:rsidP="00485619">
      <w:pPr>
        <w:pStyle w:val="Ttulo1"/>
        <w:jc w:val="both"/>
        <w:rPr>
          <w:rFonts w:ascii="Verdana" w:hAnsi="Verdana"/>
          <w:sz w:val="24"/>
          <w:szCs w:val="24"/>
        </w:rPr>
      </w:pPr>
      <w:bookmarkStart w:id="3" w:name="_Toc444697500"/>
      <w:r w:rsidRPr="00485619">
        <w:rPr>
          <w:rFonts w:ascii="Verdana" w:hAnsi="Verdana"/>
          <w:sz w:val="24"/>
          <w:szCs w:val="24"/>
        </w:rPr>
        <w:lastRenderedPageBreak/>
        <w:t>III. Metodología</w:t>
      </w:r>
      <w:bookmarkEnd w:id="3"/>
    </w:p>
    <w:p w14:paraId="3C839B38" w14:textId="77777777" w:rsidR="006A6EA9" w:rsidRPr="00485619" w:rsidRDefault="006A6EA9" w:rsidP="00485619">
      <w:pPr>
        <w:spacing w:after="0" w:line="240" w:lineRule="auto"/>
        <w:jc w:val="both"/>
        <w:rPr>
          <w:rFonts w:ascii="Verdana" w:eastAsia="Times New Roman" w:hAnsi="Verdana" w:cs="Times New Roman"/>
          <w:b/>
          <w:bCs/>
          <w:sz w:val="24"/>
          <w:szCs w:val="24"/>
          <w:lang w:val="es-ES" w:eastAsia="es-ES"/>
        </w:rPr>
      </w:pPr>
    </w:p>
    <w:p w14:paraId="3C1217A1" w14:textId="77777777" w:rsidR="00485619" w:rsidRPr="00485619" w:rsidRDefault="00485619" w:rsidP="00485619">
      <w:pPr>
        <w:spacing w:after="0" w:line="240" w:lineRule="auto"/>
        <w:jc w:val="both"/>
        <w:rPr>
          <w:rFonts w:ascii="Verdana" w:eastAsia="Times New Roman" w:hAnsi="Verdana" w:cs="Times New Roman"/>
          <w:b/>
          <w:bCs/>
          <w:sz w:val="24"/>
          <w:szCs w:val="24"/>
          <w:lang w:val="es-ES" w:eastAsia="es-ES"/>
        </w:rPr>
      </w:pPr>
    </w:p>
    <w:p w14:paraId="1FE699D9" w14:textId="77777777" w:rsidR="006A6EA9" w:rsidRPr="00485619" w:rsidRDefault="006A6EA9"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A partir del año 2011, el formulario establecido, por la Dirección General del Archivo Nacional, para la presentación del informe de desarrollo archivístico se modificó completamente. Esto con el fin de facilitar la tabulación de las respuestas e incluirlas en un sistema estadístico que permitiera obtener los resultados necesarios para el análisis y elaboración del informe de desarrollo archivístico a nivel nacional. </w:t>
      </w:r>
    </w:p>
    <w:p w14:paraId="6CA8DFE3"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25A2014D" w14:textId="77777777" w:rsidR="006A6EA9" w:rsidRPr="00485619" w:rsidRDefault="006A6EA9"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confeccionó un manual de codificación para las posibles respuestas a cada una de las 98 preguntas que componen el formulario establecido para la presentación del Informe</w:t>
      </w:r>
      <w:r w:rsidR="00E60ACA" w:rsidRPr="00485619">
        <w:rPr>
          <w:rFonts w:ascii="Verdana" w:eastAsia="Times New Roman" w:hAnsi="Verdana" w:cs="Times New Roman"/>
          <w:sz w:val="24"/>
          <w:szCs w:val="24"/>
          <w:lang w:val="es-ES" w:eastAsia="es-ES"/>
        </w:rPr>
        <w:t xml:space="preserve"> de Desarrollo Archivístico 2014-2015</w:t>
      </w:r>
      <w:r w:rsidRPr="00485619">
        <w:rPr>
          <w:rFonts w:ascii="Verdana" w:eastAsia="Times New Roman" w:hAnsi="Verdana" w:cs="Times New Roman"/>
          <w:sz w:val="24"/>
          <w:szCs w:val="24"/>
          <w:lang w:val="es-ES" w:eastAsia="es-ES"/>
        </w:rPr>
        <w:t>.</w:t>
      </w:r>
    </w:p>
    <w:p w14:paraId="5318A7EF"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73EF682B" w14:textId="77777777" w:rsidR="006A6EA9" w:rsidRPr="00485619" w:rsidRDefault="0090026D"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emitió l</w:t>
      </w:r>
      <w:r w:rsidR="002C6BC9" w:rsidRPr="00485619">
        <w:rPr>
          <w:rFonts w:ascii="Verdana" w:eastAsia="Times New Roman" w:hAnsi="Verdana" w:cs="Times New Roman"/>
          <w:sz w:val="24"/>
          <w:szCs w:val="24"/>
          <w:lang w:val="es-ES" w:eastAsia="es-ES"/>
        </w:rPr>
        <w:t>a circular electrónica N°17-2015 del 11</w:t>
      </w:r>
      <w:r w:rsidR="006A6EA9" w:rsidRPr="00485619">
        <w:rPr>
          <w:rFonts w:ascii="Verdana" w:eastAsia="Times New Roman" w:hAnsi="Verdana" w:cs="Times New Roman"/>
          <w:sz w:val="24"/>
          <w:szCs w:val="24"/>
          <w:lang w:val="es-ES" w:eastAsia="es-ES"/>
        </w:rPr>
        <w:t xml:space="preserve"> de febrero d</w:t>
      </w:r>
      <w:r w:rsidR="002C6BC9" w:rsidRPr="00485619">
        <w:rPr>
          <w:rFonts w:ascii="Verdana" w:eastAsia="Times New Roman" w:hAnsi="Verdana" w:cs="Times New Roman"/>
          <w:sz w:val="24"/>
          <w:szCs w:val="24"/>
          <w:lang w:val="es-ES" w:eastAsia="es-ES"/>
        </w:rPr>
        <w:t>e 2015</w:t>
      </w:r>
      <w:r w:rsidR="006A6EA9" w:rsidRPr="00485619">
        <w:rPr>
          <w:rFonts w:ascii="Verdana" w:eastAsia="Times New Roman" w:hAnsi="Verdana" w:cs="Times New Roman"/>
          <w:sz w:val="24"/>
          <w:szCs w:val="24"/>
          <w:lang w:val="es-ES" w:eastAsia="es-ES"/>
        </w:rPr>
        <w:t>, suscrita por la señora Virginia Arias Chacón, Directora General del Archivo Nacional dirigida a los Jefes o Encargados de los Archivos Centrales del Sistema Nacional de Archivos, para recordar la obligación legal de presentar el informe anual de desarrollo. Se adjuntó el formulario establecido, así como las instrucciones necesarias para completarlo.</w:t>
      </w:r>
    </w:p>
    <w:p w14:paraId="427C2C7D"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30C37C6C" w14:textId="77777777" w:rsidR="006A6EA9" w:rsidRPr="00485619" w:rsidRDefault="006A6EA9"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solicitó a las entidades enviar el formulario debidamente cumplimentado en soporte papel y electrónico (vía correo electrónico). Algunas entidades solamente lo remitieron en un soporte.</w:t>
      </w:r>
    </w:p>
    <w:p w14:paraId="5688F9E0"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5FE6DA85" w14:textId="77777777" w:rsidR="006A6EA9" w:rsidRPr="00485619" w:rsidRDefault="006A6EA9"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Una vez recibidos los formularios, se identificó c</w:t>
      </w:r>
      <w:r w:rsidR="0090026D" w:rsidRPr="00485619">
        <w:rPr>
          <w:rFonts w:ascii="Verdana" w:eastAsia="Times New Roman" w:hAnsi="Verdana" w:cs="Times New Roman"/>
          <w:sz w:val="24"/>
          <w:szCs w:val="24"/>
          <w:lang w:val="es-ES" w:eastAsia="es-ES"/>
        </w:rPr>
        <w:t>on un número unívoco y se tabularon</w:t>
      </w:r>
      <w:r w:rsidRPr="00485619">
        <w:rPr>
          <w:rFonts w:ascii="Verdana" w:eastAsia="Times New Roman" w:hAnsi="Verdana" w:cs="Times New Roman"/>
          <w:sz w:val="24"/>
          <w:szCs w:val="24"/>
          <w:lang w:val="es-ES" w:eastAsia="es-ES"/>
        </w:rPr>
        <w:t xml:space="preserve"> los datos de acuerdo con el manual de codificación previamente diseñado para este efecto. </w:t>
      </w:r>
    </w:p>
    <w:p w14:paraId="3659F97B"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34C4C35E" w14:textId="77777777" w:rsidR="006A6EA9" w:rsidRPr="00485619" w:rsidRDefault="00091369"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utilizaron</w:t>
      </w:r>
      <w:r w:rsidR="006A6EA9"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los</w:t>
      </w:r>
      <w:r w:rsidR="006A6EA9" w:rsidRPr="00485619">
        <w:rPr>
          <w:rFonts w:ascii="Verdana" w:eastAsia="Times New Roman" w:hAnsi="Verdana" w:cs="Times New Roman"/>
          <w:sz w:val="24"/>
          <w:szCs w:val="24"/>
          <w:lang w:val="es-ES" w:eastAsia="es-ES"/>
        </w:rPr>
        <w:t xml:space="preserve"> programa</w:t>
      </w:r>
      <w:r w:rsidRPr="00485619">
        <w:rPr>
          <w:rFonts w:ascii="Verdana" w:eastAsia="Times New Roman" w:hAnsi="Verdana" w:cs="Times New Roman"/>
          <w:sz w:val="24"/>
          <w:szCs w:val="24"/>
          <w:lang w:val="es-ES" w:eastAsia="es-ES"/>
        </w:rPr>
        <w:t>s</w:t>
      </w:r>
      <w:r w:rsidR="006A6EA9" w:rsidRPr="00485619">
        <w:rPr>
          <w:rFonts w:ascii="Verdana" w:eastAsia="Times New Roman" w:hAnsi="Verdana" w:cs="Times New Roman"/>
          <w:sz w:val="24"/>
          <w:szCs w:val="24"/>
          <w:lang w:val="es-ES" w:eastAsia="es-ES"/>
        </w:rPr>
        <w:t xml:space="preserve"> estadístico</w:t>
      </w:r>
      <w:r w:rsidRPr="00485619">
        <w:rPr>
          <w:rFonts w:ascii="Verdana" w:eastAsia="Times New Roman" w:hAnsi="Verdana" w:cs="Times New Roman"/>
          <w:sz w:val="24"/>
          <w:szCs w:val="24"/>
          <w:lang w:val="es-ES" w:eastAsia="es-ES"/>
        </w:rPr>
        <w:t>s</w:t>
      </w:r>
      <w:r w:rsidR="006A6EA9" w:rsidRPr="00485619">
        <w:rPr>
          <w:rFonts w:ascii="Verdana" w:eastAsia="Times New Roman" w:hAnsi="Verdana" w:cs="Times New Roman"/>
          <w:sz w:val="24"/>
          <w:szCs w:val="24"/>
          <w:lang w:val="es-ES" w:eastAsia="es-ES"/>
        </w:rPr>
        <w:t xml:space="preserve"> de software libre PSPP</w:t>
      </w:r>
      <w:r w:rsidRPr="00485619">
        <w:rPr>
          <w:rFonts w:ascii="Verdana" w:eastAsia="Times New Roman" w:hAnsi="Verdana" w:cs="Times New Roman"/>
          <w:sz w:val="24"/>
          <w:szCs w:val="24"/>
          <w:lang w:val="es-ES" w:eastAsia="es-ES"/>
        </w:rPr>
        <w:t xml:space="preserve"> y CSPro 6.1</w:t>
      </w:r>
      <w:r w:rsidR="006A6EA9" w:rsidRPr="00485619">
        <w:rPr>
          <w:rFonts w:ascii="Verdana" w:eastAsia="Times New Roman" w:hAnsi="Verdana" w:cs="Times New Roman"/>
          <w:sz w:val="24"/>
          <w:szCs w:val="24"/>
          <w:lang w:val="es-ES" w:eastAsia="es-ES"/>
        </w:rPr>
        <w:t>, en el cual se elaboró una plantilla con las 98 preguntas del formulario de desarro</w:t>
      </w:r>
      <w:r w:rsidR="00901F26" w:rsidRPr="00485619">
        <w:rPr>
          <w:rFonts w:ascii="Verdana" w:eastAsia="Times New Roman" w:hAnsi="Verdana" w:cs="Times New Roman"/>
          <w:sz w:val="24"/>
          <w:szCs w:val="24"/>
          <w:lang w:val="es-ES" w:eastAsia="es-ES"/>
        </w:rPr>
        <w:t>llo archivístico: DSAE-IADA 2015</w:t>
      </w:r>
      <w:r w:rsidR="006A6EA9" w:rsidRPr="00485619">
        <w:rPr>
          <w:rFonts w:ascii="Verdana" w:eastAsia="Times New Roman" w:hAnsi="Verdana" w:cs="Times New Roman"/>
          <w:sz w:val="24"/>
          <w:szCs w:val="24"/>
          <w:lang w:val="es-ES" w:eastAsia="es-ES"/>
        </w:rPr>
        <w:t>.</w:t>
      </w:r>
    </w:p>
    <w:p w14:paraId="7B87C543"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22A78C8F" w14:textId="77777777" w:rsidR="006A6EA9" w:rsidRPr="00485619" w:rsidRDefault="0090026D"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incluyeron</w:t>
      </w:r>
      <w:r w:rsidR="006A6EA9" w:rsidRPr="00485619">
        <w:rPr>
          <w:rFonts w:ascii="Verdana" w:eastAsia="Times New Roman" w:hAnsi="Verdana" w:cs="Times New Roman"/>
          <w:sz w:val="24"/>
          <w:szCs w:val="24"/>
          <w:lang w:val="es-ES" w:eastAsia="es-ES"/>
        </w:rPr>
        <w:t xml:space="preserve"> los datos de cada formulario en la plantilla </w:t>
      </w:r>
      <w:r w:rsidR="00091369" w:rsidRPr="00485619">
        <w:rPr>
          <w:rFonts w:ascii="Verdana" w:eastAsia="Times New Roman" w:hAnsi="Verdana" w:cs="Times New Roman"/>
          <w:sz w:val="24"/>
          <w:szCs w:val="24"/>
          <w:lang w:val="es-ES" w:eastAsia="es-ES"/>
        </w:rPr>
        <w:t>de entrada de datos (CSPro 6.1) y posteriormente se realizaron las tabulaciones en el</w:t>
      </w:r>
      <w:r w:rsidR="006A6EA9" w:rsidRPr="00485619">
        <w:rPr>
          <w:rFonts w:ascii="Verdana" w:eastAsia="Times New Roman" w:hAnsi="Verdana" w:cs="Times New Roman"/>
          <w:sz w:val="24"/>
          <w:szCs w:val="24"/>
          <w:lang w:val="es-ES" w:eastAsia="es-ES"/>
        </w:rPr>
        <w:t xml:space="preserve"> programa estadístico</w:t>
      </w:r>
      <w:r w:rsidR="00091369" w:rsidRPr="00485619">
        <w:rPr>
          <w:rFonts w:ascii="Verdana" w:eastAsia="Times New Roman" w:hAnsi="Verdana" w:cs="Times New Roman"/>
          <w:sz w:val="24"/>
          <w:szCs w:val="24"/>
          <w:lang w:val="es-ES" w:eastAsia="es-ES"/>
        </w:rPr>
        <w:t xml:space="preserve"> PSPP</w:t>
      </w:r>
      <w:r w:rsidR="006A6EA9" w:rsidRPr="00485619">
        <w:rPr>
          <w:rFonts w:ascii="Verdana" w:eastAsia="Times New Roman" w:hAnsi="Verdana" w:cs="Times New Roman"/>
          <w:sz w:val="24"/>
          <w:szCs w:val="24"/>
          <w:lang w:val="es-ES" w:eastAsia="es-ES"/>
        </w:rPr>
        <w:t xml:space="preserve">. </w:t>
      </w:r>
    </w:p>
    <w:p w14:paraId="10C80F1C"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65F871BF" w14:textId="77777777" w:rsidR="006A6EA9" w:rsidRPr="00485619" w:rsidRDefault="006A6EA9" w:rsidP="00485619">
      <w:pPr>
        <w:numPr>
          <w:ilvl w:val="0"/>
          <w:numId w:val="3"/>
        </w:numPr>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Se </w:t>
      </w:r>
      <w:r w:rsidR="0090026D" w:rsidRPr="00485619">
        <w:rPr>
          <w:rFonts w:ascii="Verdana" w:eastAsia="Times New Roman" w:hAnsi="Verdana" w:cs="Times New Roman"/>
          <w:sz w:val="24"/>
          <w:szCs w:val="24"/>
          <w:lang w:val="es-ES" w:eastAsia="es-ES"/>
        </w:rPr>
        <w:t>definieron</w:t>
      </w:r>
      <w:r w:rsidRPr="00485619">
        <w:rPr>
          <w:rFonts w:ascii="Verdana" w:eastAsia="Times New Roman" w:hAnsi="Verdana" w:cs="Times New Roman"/>
          <w:sz w:val="24"/>
          <w:szCs w:val="24"/>
          <w:lang w:val="es-ES" w:eastAsia="es-ES"/>
        </w:rPr>
        <w:t xml:space="preserve"> las variables más importantes para realizar un análisis general de cada una de las temáticas contempladas en el formulario establecido para la presentación de este informe, tales como: recurso humano, organización del fondo documental, valoración y selección documental, infraestructura y conservación, entre otros.</w:t>
      </w:r>
    </w:p>
    <w:p w14:paraId="07309EA8"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6F434694" w14:textId="77777777" w:rsidR="006A6EA9" w:rsidRPr="00485619" w:rsidRDefault="006A6EA9" w:rsidP="00485619">
      <w:pPr>
        <w:numPr>
          <w:ilvl w:val="0"/>
          <w:numId w:val="3"/>
        </w:numPr>
        <w:tabs>
          <w:tab w:val="num" w:pos="426"/>
        </w:tabs>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lastRenderedPageBreak/>
        <w:t xml:space="preserve">Se realizó un análisis estadístico descriptivo por frecuencias de cada una de las variables elegidas para el análisis, con el cual se confeccionó el informe ejecutivo que se presenta a la Junta Administrativa del Archivo Nacional.  </w:t>
      </w:r>
    </w:p>
    <w:p w14:paraId="02F79AC6"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6FF94CE8" w14:textId="77777777" w:rsidR="006A6EA9" w:rsidRPr="00485619" w:rsidRDefault="006A6EA9" w:rsidP="00485619">
      <w:pPr>
        <w:numPr>
          <w:ilvl w:val="0"/>
          <w:numId w:val="3"/>
        </w:numPr>
        <w:tabs>
          <w:tab w:val="num" w:pos="426"/>
        </w:tabs>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Se elaboró el estudio con un enfoque cuantitativo y cualitativo de los datos obtenidos de cada informe.  </w:t>
      </w:r>
    </w:p>
    <w:p w14:paraId="4A085C37"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3DC6852B" w14:textId="037F0C93" w:rsidR="006A6EA9" w:rsidRPr="00485619" w:rsidRDefault="0090026D" w:rsidP="00485619">
      <w:pPr>
        <w:numPr>
          <w:ilvl w:val="0"/>
          <w:numId w:val="3"/>
        </w:numPr>
        <w:tabs>
          <w:tab w:val="num" w:pos="426"/>
        </w:tabs>
        <w:spacing w:after="0" w:line="240" w:lineRule="auto"/>
        <w:ind w:left="36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redactaron</w:t>
      </w:r>
      <w:r w:rsidR="006A6EA9" w:rsidRPr="00485619">
        <w:rPr>
          <w:rFonts w:ascii="Verdana" w:eastAsia="Times New Roman" w:hAnsi="Verdana" w:cs="Times New Roman"/>
          <w:sz w:val="24"/>
          <w:szCs w:val="24"/>
          <w:lang w:val="es-ES" w:eastAsia="es-ES"/>
        </w:rPr>
        <w:t xml:space="preserve"> las conclusiones del análisis</w:t>
      </w:r>
      <w:r w:rsidR="00485619" w:rsidRPr="00485619">
        <w:rPr>
          <w:rFonts w:ascii="Verdana" w:eastAsia="Times New Roman" w:hAnsi="Verdana" w:cs="Times New Roman"/>
          <w:sz w:val="24"/>
          <w:szCs w:val="24"/>
          <w:lang w:val="es-ES" w:eastAsia="es-ES"/>
        </w:rPr>
        <w:t xml:space="preserve"> efectuado</w:t>
      </w:r>
      <w:r w:rsidR="006A6EA9" w:rsidRPr="00485619">
        <w:rPr>
          <w:rFonts w:ascii="Verdana" w:eastAsia="Times New Roman" w:hAnsi="Verdana" w:cs="Times New Roman"/>
          <w:sz w:val="24"/>
          <w:szCs w:val="24"/>
          <w:lang w:val="es-ES" w:eastAsia="es-ES"/>
        </w:rPr>
        <w:t>.</w:t>
      </w:r>
    </w:p>
    <w:p w14:paraId="03EF9EA3"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1AA588CB" w14:textId="77777777" w:rsidR="006A6EA9" w:rsidRPr="00485619" w:rsidRDefault="006A6EA9" w:rsidP="00485619">
      <w:pPr>
        <w:spacing w:after="0" w:line="240" w:lineRule="auto"/>
        <w:jc w:val="both"/>
        <w:rPr>
          <w:rFonts w:ascii="Verdana" w:eastAsia="Times New Roman" w:hAnsi="Verdana" w:cs="Arial"/>
          <w:sz w:val="24"/>
          <w:szCs w:val="24"/>
          <w:lang w:val="es-ES" w:eastAsia="es-ES"/>
        </w:rPr>
      </w:pPr>
      <w:r w:rsidRPr="00485619">
        <w:rPr>
          <w:rFonts w:ascii="Verdana" w:eastAsia="Times New Roman" w:hAnsi="Verdana" w:cs="Arial"/>
          <w:sz w:val="24"/>
          <w:szCs w:val="24"/>
          <w:lang w:val="es-ES" w:eastAsia="es-ES"/>
        </w:rPr>
        <w:t xml:space="preserve"> </w:t>
      </w:r>
    </w:p>
    <w:p w14:paraId="5B7D825A" w14:textId="77777777" w:rsidR="00E0577E" w:rsidRPr="00485619" w:rsidRDefault="00E0577E" w:rsidP="00485619">
      <w:pPr>
        <w:jc w:val="both"/>
        <w:rPr>
          <w:rFonts w:ascii="Verdana" w:eastAsia="Times New Roman" w:hAnsi="Verdana" w:cs="Arial"/>
          <w:b/>
          <w:bCs/>
          <w:sz w:val="24"/>
          <w:szCs w:val="24"/>
          <w:lang w:val="es-ES" w:eastAsia="es-ES"/>
        </w:rPr>
      </w:pPr>
      <w:r w:rsidRPr="00485619">
        <w:rPr>
          <w:rFonts w:ascii="Verdana" w:hAnsi="Verdana"/>
          <w:sz w:val="24"/>
          <w:szCs w:val="24"/>
        </w:rPr>
        <w:br w:type="page"/>
      </w:r>
    </w:p>
    <w:p w14:paraId="78FE8FC8" w14:textId="77777777" w:rsidR="006A6EA9" w:rsidRPr="00485619" w:rsidRDefault="006A6EA9" w:rsidP="00485619">
      <w:pPr>
        <w:pStyle w:val="Ttulo1"/>
        <w:jc w:val="both"/>
        <w:rPr>
          <w:rFonts w:ascii="Verdana" w:hAnsi="Verdana"/>
          <w:b w:val="0"/>
          <w:bCs w:val="0"/>
          <w:sz w:val="24"/>
          <w:szCs w:val="24"/>
        </w:rPr>
      </w:pPr>
      <w:bookmarkStart w:id="4" w:name="_Toc444697501"/>
      <w:r w:rsidRPr="00485619">
        <w:rPr>
          <w:rFonts w:ascii="Verdana" w:hAnsi="Verdana"/>
          <w:sz w:val="24"/>
          <w:szCs w:val="24"/>
        </w:rPr>
        <w:lastRenderedPageBreak/>
        <w:t>IV. Antecedentes</w:t>
      </w:r>
      <w:bookmarkEnd w:id="4"/>
    </w:p>
    <w:p w14:paraId="58DEEABC" w14:textId="77777777" w:rsidR="00C52C5A" w:rsidRPr="00485619" w:rsidRDefault="00C52C5A" w:rsidP="00485619">
      <w:pPr>
        <w:spacing w:after="0" w:line="240" w:lineRule="auto"/>
        <w:jc w:val="both"/>
        <w:rPr>
          <w:rFonts w:ascii="Verdana" w:eastAsia="Times New Roman" w:hAnsi="Verdana" w:cs="Arial"/>
          <w:sz w:val="24"/>
          <w:szCs w:val="24"/>
          <w:lang w:eastAsia="es-ES"/>
        </w:rPr>
      </w:pPr>
    </w:p>
    <w:p w14:paraId="7AE00A88"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A continuación</w:t>
      </w:r>
      <w:r w:rsidR="00C52C5A" w:rsidRPr="00485619">
        <w:rPr>
          <w:rFonts w:ascii="Verdana" w:eastAsia="Times New Roman" w:hAnsi="Verdana" w:cs="Times New Roman"/>
          <w:sz w:val="24"/>
          <w:szCs w:val="24"/>
          <w:lang w:val="es-ES" w:eastAsia="es-ES"/>
        </w:rPr>
        <w:t>,</w:t>
      </w:r>
      <w:r w:rsidRPr="00485619">
        <w:rPr>
          <w:rFonts w:ascii="Verdana" w:eastAsia="Times New Roman" w:hAnsi="Verdana" w:cs="Times New Roman"/>
          <w:sz w:val="24"/>
          <w:szCs w:val="24"/>
          <w:lang w:val="es-ES" w:eastAsia="es-ES"/>
        </w:rPr>
        <w:t xml:space="preserve"> se </w:t>
      </w:r>
      <w:r w:rsidR="00C52C5A" w:rsidRPr="00485619">
        <w:rPr>
          <w:rFonts w:ascii="Verdana" w:eastAsia="Times New Roman" w:hAnsi="Verdana" w:cs="Times New Roman"/>
          <w:sz w:val="24"/>
          <w:szCs w:val="24"/>
          <w:lang w:val="es-ES" w:eastAsia="es-ES"/>
        </w:rPr>
        <w:t xml:space="preserve">expone </w:t>
      </w:r>
      <w:r w:rsidRPr="00485619">
        <w:rPr>
          <w:rFonts w:ascii="Verdana" w:eastAsia="Times New Roman" w:hAnsi="Verdana" w:cs="Times New Roman"/>
          <w:sz w:val="24"/>
          <w:szCs w:val="24"/>
          <w:lang w:val="es-ES" w:eastAsia="es-ES"/>
        </w:rPr>
        <w:t xml:space="preserve">el historial de las instituciones que han presentado informes de desarrollo archivístico durante los </w:t>
      </w:r>
      <w:r w:rsidR="00901F26" w:rsidRPr="00485619">
        <w:rPr>
          <w:rFonts w:ascii="Verdana" w:eastAsia="Times New Roman" w:hAnsi="Verdana" w:cs="Times New Roman"/>
          <w:sz w:val="24"/>
          <w:szCs w:val="24"/>
          <w:lang w:val="es-ES" w:eastAsia="es-ES"/>
        </w:rPr>
        <w:t>años 2009</w:t>
      </w:r>
      <w:r w:rsidR="00FD30E9" w:rsidRPr="00485619">
        <w:rPr>
          <w:rFonts w:ascii="Verdana" w:eastAsia="Times New Roman" w:hAnsi="Verdana" w:cs="Times New Roman"/>
          <w:sz w:val="24"/>
          <w:szCs w:val="24"/>
          <w:lang w:val="es-ES" w:eastAsia="es-ES"/>
        </w:rPr>
        <w:t xml:space="preserve"> a 2015</w:t>
      </w:r>
      <w:r w:rsidRPr="00485619">
        <w:rPr>
          <w:rFonts w:ascii="Verdana" w:eastAsia="Times New Roman" w:hAnsi="Verdana" w:cs="Arial"/>
          <w:b/>
          <w:bCs/>
          <w:sz w:val="24"/>
          <w:szCs w:val="24"/>
          <w:vertAlign w:val="superscript"/>
          <w:lang w:val="es-ES" w:eastAsia="es-ES"/>
        </w:rPr>
        <w:footnoteReference w:id="1"/>
      </w:r>
      <w:r w:rsidRPr="00485619">
        <w:rPr>
          <w:rFonts w:ascii="Verdana" w:eastAsia="Times New Roman" w:hAnsi="Verdana" w:cs="Times New Roman"/>
          <w:sz w:val="24"/>
          <w:szCs w:val="24"/>
          <w:lang w:val="es-ES" w:eastAsia="es-ES"/>
        </w:rPr>
        <w:t>:</w:t>
      </w:r>
    </w:p>
    <w:p w14:paraId="0000F441" w14:textId="77777777" w:rsidR="00557717" w:rsidRPr="00485619" w:rsidRDefault="00557717" w:rsidP="00485619">
      <w:pPr>
        <w:spacing w:after="0" w:line="240" w:lineRule="auto"/>
        <w:jc w:val="both"/>
        <w:rPr>
          <w:rFonts w:ascii="Verdana" w:eastAsia="Times New Roman" w:hAnsi="Verdana" w:cs="Times New Roman"/>
          <w:sz w:val="24"/>
          <w:szCs w:val="24"/>
          <w:lang w:val="es-ES" w:eastAsia="es-ES"/>
        </w:rPr>
      </w:pPr>
    </w:p>
    <w:p w14:paraId="3FA70401" w14:textId="77777777" w:rsidR="00B2467E" w:rsidRPr="00485619" w:rsidRDefault="00B2467E" w:rsidP="00EE7BA4">
      <w:pPr>
        <w:spacing w:after="0" w:line="240" w:lineRule="auto"/>
        <w:jc w:val="center"/>
        <w:rPr>
          <w:rFonts w:ascii="Verdana" w:eastAsia="Times New Roman" w:hAnsi="Verdana" w:cs="Arial"/>
          <w:b/>
          <w:bCs/>
          <w:sz w:val="24"/>
          <w:szCs w:val="24"/>
          <w:lang w:val="es-ES" w:eastAsia="es-ES"/>
        </w:rPr>
      </w:pPr>
      <w:r w:rsidRPr="00485619">
        <w:rPr>
          <w:rFonts w:ascii="Verdana" w:hAnsi="Verdana"/>
          <w:noProof/>
          <w:sz w:val="24"/>
          <w:szCs w:val="24"/>
          <w:lang w:val="es-ES" w:eastAsia="es-ES"/>
        </w:rPr>
        <w:drawing>
          <wp:inline distT="0" distB="0" distL="0" distR="0" wp14:anchorId="200DCF78" wp14:editId="0E66AA3A">
            <wp:extent cx="4572000" cy="21240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E8099D" w14:textId="77777777" w:rsidR="00EE7BA4" w:rsidRDefault="00EE7BA4" w:rsidP="00485619">
      <w:pPr>
        <w:spacing w:after="0" w:line="240" w:lineRule="auto"/>
        <w:jc w:val="both"/>
        <w:rPr>
          <w:rFonts w:ascii="Verdana" w:eastAsia="Times New Roman" w:hAnsi="Verdana" w:cs="Times New Roman"/>
          <w:sz w:val="24"/>
          <w:szCs w:val="24"/>
          <w:lang w:val="es-ES" w:eastAsia="es-ES"/>
        </w:rPr>
      </w:pPr>
    </w:p>
    <w:p w14:paraId="2308D5A6" w14:textId="77777777" w:rsidR="00FD30E9" w:rsidRPr="00485619" w:rsidRDefault="00FD30E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El Informe de Desarrollo Archivístico fue presentado por 119 instituciones, sin embargo, es importante destacar que</w:t>
      </w:r>
      <w:r w:rsidR="00573A86" w:rsidRPr="00485619">
        <w:rPr>
          <w:rFonts w:ascii="Verdana" w:eastAsia="Times New Roman" w:hAnsi="Verdana" w:cs="Times New Roman"/>
          <w:sz w:val="24"/>
          <w:szCs w:val="24"/>
          <w:lang w:val="es-ES" w:eastAsia="es-ES"/>
        </w:rPr>
        <w:t xml:space="preserve"> 17</w:t>
      </w:r>
      <w:r w:rsidR="00382A05" w:rsidRPr="00485619">
        <w:rPr>
          <w:rFonts w:ascii="Verdana" w:eastAsia="Times New Roman" w:hAnsi="Verdana" w:cs="Times New Roman"/>
          <w:sz w:val="24"/>
          <w:szCs w:val="24"/>
          <w:lang w:val="es-ES" w:eastAsia="es-ES"/>
        </w:rPr>
        <w:t xml:space="preserve"> de ellas, entregaron dicho informe posterior a la fecha establecida para su remisión. A continuación, se indican:  </w:t>
      </w:r>
    </w:p>
    <w:p w14:paraId="24F91706" w14:textId="77777777" w:rsidR="00FD30E9" w:rsidRPr="00485619" w:rsidRDefault="00FD30E9" w:rsidP="00485619">
      <w:pPr>
        <w:spacing w:after="0" w:line="240" w:lineRule="auto"/>
        <w:jc w:val="both"/>
        <w:rPr>
          <w:rFonts w:ascii="Verdana" w:hAnsi="Verdana"/>
          <w:sz w:val="24"/>
          <w:szCs w:val="24"/>
        </w:rPr>
      </w:pPr>
    </w:p>
    <w:p w14:paraId="02F5133B" w14:textId="77777777" w:rsidR="008C44C9" w:rsidRPr="00760686" w:rsidRDefault="008C44C9" w:rsidP="00760686">
      <w:pPr>
        <w:pStyle w:val="Prrafodelista"/>
        <w:numPr>
          <w:ilvl w:val="0"/>
          <w:numId w:val="46"/>
        </w:numPr>
        <w:jc w:val="both"/>
        <w:rPr>
          <w:rFonts w:ascii="Verdana" w:hAnsi="Verdana"/>
        </w:rPr>
      </w:pPr>
      <w:r w:rsidRPr="00485619">
        <w:rPr>
          <w:rFonts w:ascii="Verdana" w:hAnsi="Verdana"/>
        </w:rPr>
        <w:t>Comisión Nacional de Préstamos para Educación, Conape</w:t>
      </w:r>
    </w:p>
    <w:p w14:paraId="0EEF6DF1" w14:textId="77777777" w:rsidR="00382A05" w:rsidRPr="00760686" w:rsidRDefault="00EE3BEE" w:rsidP="00760686">
      <w:pPr>
        <w:pStyle w:val="Prrafodelista"/>
        <w:numPr>
          <w:ilvl w:val="0"/>
          <w:numId w:val="46"/>
        </w:numPr>
        <w:jc w:val="both"/>
        <w:rPr>
          <w:rFonts w:ascii="Verdana" w:hAnsi="Verdana"/>
        </w:rPr>
      </w:pPr>
      <w:r w:rsidRPr="00485619">
        <w:rPr>
          <w:rFonts w:ascii="Verdana" w:hAnsi="Verdana"/>
        </w:rPr>
        <w:t xml:space="preserve">Benemérito </w:t>
      </w:r>
      <w:r w:rsidR="00382A05" w:rsidRPr="00485619">
        <w:rPr>
          <w:rFonts w:ascii="Verdana" w:hAnsi="Verdana"/>
        </w:rPr>
        <w:t>Cuerpo de Bomberos</w:t>
      </w:r>
      <w:r w:rsidRPr="00485619">
        <w:rPr>
          <w:rFonts w:ascii="Verdana" w:hAnsi="Verdana"/>
        </w:rPr>
        <w:t xml:space="preserve"> de Costa Rica</w:t>
      </w:r>
    </w:p>
    <w:p w14:paraId="1259702D"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Comisión Nacional de Emergencias</w:t>
      </w:r>
    </w:p>
    <w:p w14:paraId="0C312C9E"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Correos de Costa Rica</w:t>
      </w:r>
    </w:p>
    <w:p w14:paraId="55895AB3"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Ministerio de Seguridad Pública</w:t>
      </w:r>
    </w:p>
    <w:p w14:paraId="116972CD"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Empresa Servicios Públicos de Heredia</w:t>
      </w:r>
    </w:p>
    <w:p w14:paraId="1565D9EC" w14:textId="77777777" w:rsidR="00382A05" w:rsidRPr="00760686" w:rsidRDefault="008C44C9" w:rsidP="00760686">
      <w:pPr>
        <w:pStyle w:val="Prrafodelista"/>
        <w:numPr>
          <w:ilvl w:val="0"/>
          <w:numId w:val="46"/>
        </w:numPr>
        <w:jc w:val="both"/>
        <w:rPr>
          <w:rFonts w:ascii="Verdana" w:hAnsi="Verdana"/>
        </w:rPr>
      </w:pPr>
      <w:r w:rsidRPr="00485619">
        <w:rPr>
          <w:rFonts w:ascii="Verdana" w:hAnsi="Verdana"/>
        </w:rPr>
        <w:t xml:space="preserve">Instituto Costarricense de Investigación y Enseñanza en Nutrición y Salud, </w:t>
      </w:r>
      <w:r w:rsidR="00382A05" w:rsidRPr="00485619">
        <w:rPr>
          <w:rFonts w:ascii="Verdana" w:hAnsi="Verdana"/>
        </w:rPr>
        <w:t>Inciencia</w:t>
      </w:r>
    </w:p>
    <w:p w14:paraId="7F65F617"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Municipalidad de Orotina</w:t>
      </w:r>
    </w:p>
    <w:p w14:paraId="6DFCAE52" w14:textId="77777777" w:rsidR="00485619" w:rsidRPr="00760686" w:rsidRDefault="00382A05" w:rsidP="00760686">
      <w:pPr>
        <w:pStyle w:val="Prrafodelista"/>
        <w:numPr>
          <w:ilvl w:val="0"/>
          <w:numId w:val="46"/>
        </w:numPr>
        <w:jc w:val="both"/>
        <w:rPr>
          <w:rFonts w:ascii="Verdana" w:hAnsi="Verdana"/>
        </w:rPr>
      </w:pPr>
      <w:r w:rsidRPr="00485619">
        <w:rPr>
          <w:rFonts w:ascii="Verdana" w:hAnsi="Verdana"/>
        </w:rPr>
        <w:t>Banco Central de Costa Rica</w:t>
      </w:r>
    </w:p>
    <w:p w14:paraId="3A65DC3E" w14:textId="11B866E5" w:rsidR="00382A05" w:rsidRPr="00485619" w:rsidRDefault="00382A05" w:rsidP="00760686">
      <w:pPr>
        <w:pStyle w:val="Prrafodelista"/>
        <w:numPr>
          <w:ilvl w:val="0"/>
          <w:numId w:val="46"/>
        </w:numPr>
        <w:jc w:val="both"/>
        <w:rPr>
          <w:rFonts w:ascii="Verdana" w:hAnsi="Verdana"/>
        </w:rPr>
      </w:pPr>
      <w:r w:rsidRPr="00485619">
        <w:rPr>
          <w:rFonts w:ascii="Verdana" w:hAnsi="Verdana"/>
        </w:rPr>
        <w:t>Instituto Costarricense de Acueductos y Alcantarillados</w:t>
      </w:r>
    </w:p>
    <w:p w14:paraId="70BF1561"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Municipalidad de San Isidro-Heredia</w:t>
      </w:r>
    </w:p>
    <w:p w14:paraId="6DA428CA"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Municipalidad de San Ramón</w:t>
      </w:r>
    </w:p>
    <w:p w14:paraId="4DBDC5A4"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Tribunal Supremo de Elecciones</w:t>
      </w:r>
    </w:p>
    <w:p w14:paraId="045412F4"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J</w:t>
      </w:r>
      <w:r w:rsidR="00495AFE" w:rsidRPr="00485619">
        <w:rPr>
          <w:rFonts w:ascii="Verdana" w:hAnsi="Verdana"/>
        </w:rPr>
        <w:t xml:space="preserve">unta Administradora del Servicio Eléctrico de </w:t>
      </w:r>
      <w:r w:rsidR="00722973" w:rsidRPr="00485619">
        <w:rPr>
          <w:rFonts w:ascii="Verdana" w:hAnsi="Verdana"/>
        </w:rPr>
        <w:t>Cartago, Ja</w:t>
      </w:r>
      <w:r w:rsidR="00495AFE" w:rsidRPr="00485619">
        <w:rPr>
          <w:rFonts w:ascii="Verdana" w:hAnsi="Verdana"/>
        </w:rPr>
        <w:t>sec</w:t>
      </w:r>
    </w:p>
    <w:p w14:paraId="2867BD1C"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D</w:t>
      </w:r>
      <w:r w:rsidR="00722973" w:rsidRPr="00485619">
        <w:rPr>
          <w:rFonts w:ascii="Verdana" w:hAnsi="Verdana"/>
        </w:rPr>
        <w:t xml:space="preserve">irección de </w:t>
      </w:r>
      <w:r w:rsidRPr="00485619">
        <w:rPr>
          <w:rFonts w:ascii="Verdana" w:hAnsi="Verdana"/>
        </w:rPr>
        <w:t>I</w:t>
      </w:r>
      <w:r w:rsidR="00722973" w:rsidRPr="00485619">
        <w:rPr>
          <w:rFonts w:ascii="Verdana" w:hAnsi="Verdana"/>
        </w:rPr>
        <w:t xml:space="preserve">nteligencia y </w:t>
      </w:r>
      <w:r w:rsidRPr="00485619">
        <w:rPr>
          <w:rFonts w:ascii="Verdana" w:hAnsi="Verdana"/>
        </w:rPr>
        <w:t>S</w:t>
      </w:r>
      <w:r w:rsidR="00722973" w:rsidRPr="00485619">
        <w:rPr>
          <w:rFonts w:ascii="Verdana" w:hAnsi="Verdana"/>
        </w:rPr>
        <w:t>eguridad</w:t>
      </w:r>
    </w:p>
    <w:p w14:paraId="2ECEA3EE"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Municipalidad de Belén</w:t>
      </w:r>
    </w:p>
    <w:p w14:paraId="4873A33F" w14:textId="77777777" w:rsidR="00382A05" w:rsidRPr="00760686" w:rsidRDefault="00382A05" w:rsidP="00760686">
      <w:pPr>
        <w:pStyle w:val="Prrafodelista"/>
        <w:numPr>
          <w:ilvl w:val="0"/>
          <w:numId w:val="46"/>
        </w:numPr>
        <w:jc w:val="both"/>
        <w:rPr>
          <w:rFonts w:ascii="Verdana" w:hAnsi="Verdana"/>
        </w:rPr>
      </w:pPr>
      <w:r w:rsidRPr="00485619">
        <w:rPr>
          <w:rFonts w:ascii="Verdana" w:hAnsi="Verdana"/>
        </w:rPr>
        <w:t xml:space="preserve">Dirección General de Aviación Civil </w:t>
      </w:r>
    </w:p>
    <w:p w14:paraId="2322AE6E" w14:textId="77777777" w:rsidR="006A6EA9" w:rsidRPr="00485619" w:rsidRDefault="006A6EA9" w:rsidP="00485619">
      <w:pPr>
        <w:pStyle w:val="Ttulo1"/>
        <w:jc w:val="both"/>
        <w:rPr>
          <w:rFonts w:ascii="Verdana" w:hAnsi="Verdana"/>
          <w:b w:val="0"/>
          <w:bCs w:val="0"/>
          <w:sz w:val="24"/>
          <w:szCs w:val="24"/>
        </w:rPr>
      </w:pPr>
      <w:bookmarkStart w:id="5" w:name="_Toc444697502"/>
      <w:r w:rsidRPr="00485619">
        <w:rPr>
          <w:rFonts w:ascii="Verdana" w:hAnsi="Verdana"/>
          <w:sz w:val="24"/>
          <w:szCs w:val="24"/>
        </w:rPr>
        <w:lastRenderedPageBreak/>
        <w:t>V. Aspectos Generales</w:t>
      </w:r>
      <w:bookmarkEnd w:id="5"/>
    </w:p>
    <w:p w14:paraId="048A7B05"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4F9E261D"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1. Este informe toma como universo de estudio 328 entidades según, la clasificación del organigrama del Sector Público Costarricense actualizado en diciembre 2013. </w:t>
      </w:r>
    </w:p>
    <w:p w14:paraId="01290254"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1D4AF130"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Para el período en estudio se realizó un análisis cuantitativo y cualitativo de las instituciones que presentaron el informe de desarr</w:t>
      </w:r>
      <w:r w:rsidR="00E51A89" w:rsidRPr="00485619">
        <w:rPr>
          <w:rFonts w:ascii="Verdana" w:eastAsia="Times New Roman" w:hAnsi="Verdana" w:cs="Times New Roman"/>
          <w:sz w:val="24"/>
          <w:szCs w:val="24"/>
          <w:lang w:val="es-ES" w:eastAsia="es-ES"/>
        </w:rPr>
        <w:t>ollo archivístico en el año 2015</w:t>
      </w:r>
      <w:r w:rsidRPr="00485619">
        <w:rPr>
          <w:rFonts w:ascii="Verdana" w:eastAsia="Times New Roman" w:hAnsi="Verdana" w:cs="Times New Roman"/>
          <w:sz w:val="24"/>
          <w:szCs w:val="24"/>
          <w:lang w:val="es-ES" w:eastAsia="es-ES"/>
        </w:rPr>
        <w:t xml:space="preserve">, con el fin de evaluar el estado archivístico de dichas entidades. </w:t>
      </w:r>
    </w:p>
    <w:p w14:paraId="5F137968"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09256E41"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2. De 328 entidades de la Administ</w:t>
      </w:r>
      <w:r w:rsidR="00E51A89" w:rsidRPr="00485619">
        <w:rPr>
          <w:rFonts w:ascii="Verdana" w:eastAsia="Times New Roman" w:hAnsi="Verdana" w:cs="Times New Roman"/>
          <w:sz w:val="24"/>
          <w:szCs w:val="24"/>
          <w:lang w:val="es-ES" w:eastAsia="es-ES"/>
        </w:rPr>
        <w:t>ración Pública, 119</w:t>
      </w:r>
      <w:r w:rsidR="0090026D" w:rsidRPr="00485619">
        <w:rPr>
          <w:rFonts w:ascii="Verdana" w:eastAsia="Times New Roman" w:hAnsi="Verdana" w:cs="Times New Roman"/>
          <w:sz w:val="24"/>
          <w:szCs w:val="24"/>
          <w:lang w:val="es-ES" w:eastAsia="es-ES"/>
        </w:rPr>
        <w:t xml:space="preserve"> </w:t>
      </w:r>
      <w:r w:rsidR="00E51A89" w:rsidRPr="00485619">
        <w:rPr>
          <w:rFonts w:ascii="Verdana" w:eastAsia="Times New Roman" w:hAnsi="Verdana" w:cs="Times New Roman"/>
          <w:sz w:val="24"/>
          <w:szCs w:val="24"/>
          <w:lang w:val="es-ES" w:eastAsia="es-ES"/>
        </w:rPr>
        <w:t xml:space="preserve">(36,3%) </w:t>
      </w:r>
      <w:r w:rsidR="0090026D" w:rsidRPr="00485619">
        <w:rPr>
          <w:rFonts w:ascii="Verdana" w:eastAsia="Times New Roman" w:hAnsi="Verdana" w:cs="Times New Roman"/>
          <w:sz w:val="24"/>
          <w:szCs w:val="24"/>
          <w:lang w:val="es-ES" w:eastAsia="es-ES"/>
        </w:rPr>
        <w:t>remitieron</w:t>
      </w:r>
      <w:r w:rsidRPr="00485619">
        <w:rPr>
          <w:rFonts w:ascii="Verdana" w:eastAsia="Times New Roman" w:hAnsi="Verdana" w:cs="Times New Roman"/>
          <w:sz w:val="24"/>
          <w:szCs w:val="24"/>
          <w:lang w:val="es-ES" w:eastAsia="es-ES"/>
        </w:rPr>
        <w:t xml:space="preserve"> el Informe de Desarrollo Archivístico, es de</w:t>
      </w:r>
      <w:r w:rsidR="0090026D" w:rsidRPr="00485619">
        <w:rPr>
          <w:rFonts w:ascii="Verdana" w:eastAsia="Times New Roman" w:hAnsi="Verdana" w:cs="Times New Roman"/>
          <w:sz w:val="24"/>
          <w:szCs w:val="24"/>
          <w:lang w:val="es-ES" w:eastAsia="es-ES"/>
        </w:rPr>
        <w:t>cir, 207</w:t>
      </w:r>
      <w:r w:rsidR="00E51A89" w:rsidRPr="00485619">
        <w:rPr>
          <w:rFonts w:ascii="Verdana" w:eastAsia="Times New Roman" w:hAnsi="Verdana" w:cs="Times New Roman"/>
          <w:sz w:val="24"/>
          <w:szCs w:val="24"/>
          <w:lang w:val="es-ES" w:eastAsia="es-ES"/>
        </w:rPr>
        <w:t xml:space="preserve"> (63,7%)</w:t>
      </w:r>
      <w:r w:rsidR="0090026D" w:rsidRPr="00485619">
        <w:rPr>
          <w:rFonts w:ascii="Verdana" w:eastAsia="Times New Roman" w:hAnsi="Verdana" w:cs="Times New Roman"/>
          <w:sz w:val="24"/>
          <w:szCs w:val="24"/>
          <w:lang w:val="es-ES" w:eastAsia="es-ES"/>
        </w:rPr>
        <w:t xml:space="preserve"> instituciones incumplieron</w:t>
      </w:r>
      <w:r w:rsidRPr="00485619">
        <w:rPr>
          <w:rFonts w:ascii="Verdana" w:eastAsia="Times New Roman" w:hAnsi="Verdana" w:cs="Times New Roman"/>
          <w:sz w:val="24"/>
          <w:szCs w:val="24"/>
          <w:lang w:val="es-ES" w:eastAsia="es-ES"/>
        </w:rPr>
        <w:t xml:space="preserve"> con lo establecido en el artículo 42, inciso j de la Ley Nº 7202.  </w:t>
      </w:r>
    </w:p>
    <w:p w14:paraId="7C0358C6"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2771A7BB" w14:textId="77777777" w:rsidR="006A6EA9" w:rsidRPr="00485619" w:rsidRDefault="001A0A7E"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Seguidamente</w:t>
      </w:r>
      <w:r w:rsidR="006A6EA9" w:rsidRPr="00485619">
        <w:rPr>
          <w:rFonts w:ascii="Verdana" w:eastAsia="Times New Roman" w:hAnsi="Verdana" w:cs="Times New Roman"/>
          <w:sz w:val="24"/>
          <w:szCs w:val="24"/>
          <w:lang w:val="es-ES" w:eastAsia="es-ES"/>
        </w:rPr>
        <w:t>, se presenta un gráfico con los porcentajes de cumplimiento.</w:t>
      </w:r>
    </w:p>
    <w:p w14:paraId="4E3C77E4" w14:textId="77777777" w:rsidR="004567D0" w:rsidRPr="00485619" w:rsidRDefault="004567D0" w:rsidP="00485619">
      <w:pPr>
        <w:spacing w:after="0" w:line="240" w:lineRule="auto"/>
        <w:jc w:val="both"/>
        <w:rPr>
          <w:rFonts w:ascii="Verdana" w:eastAsia="Times New Roman" w:hAnsi="Verdana" w:cs="Arial"/>
          <w:b/>
          <w:bCs/>
          <w:sz w:val="24"/>
          <w:szCs w:val="24"/>
          <w:highlight w:val="yellow"/>
          <w:lang w:val="es-ES" w:eastAsia="es-ES"/>
        </w:rPr>
      </w:pPr>
    </w:p>
    <w:p w14:paraId="00D04032" w14:textId="77777777" w:rsidR="00E51A89" w:rsidRPr="00485619" w:rsidRDefault="00E51A89" w:rsidP="00EE7BA4">
      <w:pPr>
        <w:spacing w:after="0" w:line="240" w:lineRule="auto"/>
        <w:jc w:val="center"/>
        <w:rPr>
          <w:rFonts w:ascii="Verdana" w:eastAsia="Times New Roman" w:hAnsi="Verdana" w:cs="Arial"/>
          <w:b/>
          <w:bCs/>
          <w:sz w:val="24"/>
          <w:szCs w:val="24"/>
          <w:highlight w:val="yellow"/>
          <w:lang w:val="es-ES" w:eastAsia="es-ES"/>
        </w:rPr>
      </w:pPr>
      <w:r w:rsidRPr="00485619">
        <w:rPr>
          <w:rFonts w:ascii="Verdana" w:hAnsi="Verdana"/>
          <w:noProof/>
          <w:sz w:val="24"/>
          <w:szCs w:val="24"/>
          <w:lang w:val="es-ES" w:eastAsia="es-ES"/>
        </w:rPr>
        <w:drawing>
          <wp:inline distT="0" distB="0" distL="0" distR="0" wp14:anchorId="54EA2F65" wp14:editId="0F45C560">
            <wp:extent cx="4562475" cy="301942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3B73E3" w14:textId="77777777" w:rsidR="00E11699" w:rsidRPr="00485619" w:rsidRDefault="00E11699" w:rsidP="00485619">
      <w:pPr>
        <w:spacing w:after="0" w:line="240" w:lineRule="auto"/>
        <w:jc w:val="both"/>
        <w:rPr>
          <w:rFonts w:ascii="Verdana" w:eastAsia="Times New Roman" w:hAnsi="Verdana" w:cs="Arial"/>
          <w:sz w:val="24"/>
          <w:szCs w:val="24"/>
          <w:lang w:val="es-ES" w:eastAsia="es-ES"/>
        </w:rPr>
      </w:pPr>
    </w:p>
    <w:p w14:paraId="21E8600D" w14:textId="0AB24823" w:rsidR="006A6EA9" w:rsidRPr="00760686" w:rsidRDefault="00213B90" w:rsidP="00DC460D">
      <w:pPr>
        <w:pStyle w:val="Prrafodelista"/>
        <w:numPr>
          <w:ilvl w:val="0"/>
          <w:numId w:val="2"/>
        </w:numPr>
        <w:jc w:val="both"/>
        <w:rPr>
          <w:rFonts w:ascii="Verdana" w:hAnsi="Verdana" w:cs="Arial"/>
          <w:b/>
          <w:bCs/>
        </w:rPr>
      </w:pPr>
      <w:r w:rsidRPr="00EE7BA4">
        <w:rPr>
          <w:rFonts w:ascii="Verdana" w:hAnsi="Verdana"/>
        </w:rPr>
        <w:t>Las 119</w:t>
      </w:r>
      <w:r w:rsidR="006A6EA9" w:rsidRPr="00EE7BA4">
        <w:rPr>
          <w:rFonts w:ascii="Verdana" w:hAnsi="Verdana"/>
        </w:rPr>
        <w:t xml:space="preserve"> instituciones que emitieron el informe de desarrollo archivístico, utilizaron el formato establecido por la Dirección General del Archivo Nacional. </w:t>
      </w:r>
    </w:p>
    <w:p w14:paraId="783668F0" w14:textId="77777777" w:rsidR="00760686" w:rsidRDefault="00760686" w:rsidP="00760686">
      <w:pPr>
        <w:jc w:val="both"/>
        <w:rPr>
          <w:rFonts w:ascii="Verdana" w:hAnsi="Verdana" w:cs="Arial"/>
          <w:b/>
          <w:bCs/>
        </w:rPr>
      </w:pPr>
    </w:p>
    <w:p w14:paraId="75A1B0EA" w14:textId="77777777" w:rsidR="00760686" w:rsidRDefault="00760686" w:rsidP="00760686">
      <w:pPr>
        <w:jc w:val="both"/>
        <w:rPr>
          <w:rFonts w:ascii="Verdana" w:hAnsi="Verdana" w:cs="Arial"/>
          <w:b/>
          <w:bCs/>
        </w:rPr>
      </w:pPr>
    </w:p>
    <w:p w14:paraId="4A34D49C" w14:textId="77777777" w:rsidR="008F772D" w:rsidRPr="00760686" w:rsidRDefault="008F772D" w:rsidP="00760686">
      <w:pPr>
        <w:jc w:val="both"/>
        <w:rPr>
          <w:rFonts w:ascii="Verdana" w:hAnsi="Verdana" w:cs="Arial"/>
          <w:b/>
          <w:bCs/>
        </w:rPr>
      </w:pPr>
    </w:p>
    <w:p w14:paraId="6AB99D59" w14:textId="77777777" w:rsidR="006A6EA9" w:rsidRPr="00485619" w:rsidRDefault="006A6EA9" w:rsidP="00485619">
      <w:pPr>
        <w:pStyle w:val="Ttulo1"/>
        <w:jc w:val="both"/>
        <w:rPr>
          <w:rFonts w:ascii="Verdana" w:hAnsi="Verdana"/>
          <w:b w:val="0"/>
          <w:bCs w:val="0"/>
          <w:sz w:val="24"/>
          <w:szCs w:val="24"/>
        </w:rPr>
      </w:pPr>
      <w:bookmarkStart w:id="6" w:name="_Toc444697503"/>
      <w:r w:rsidRPr="00485619">
        <w:rPr>
          <w:rFonts w:ascii="Verdana" w:hAnsi="Verdana"/>
          <w:sz w:val="24"/>
          <w:szCs w:val="24"/>
        </w:rPr>
        <w:t>VI. Análisis cuantitativo y cualitativo de las variables contenidas en los informes de desarrollo archivístic</w:t>
      </w:r>
      <w:r w:rsidR="00213B90" w:rsidRPr="00485619">
        <w:rPr>
          <w:rFonts w:ascii="Verdana" w:hAnsi="Verdana"/>
          <w:sz w:val="24"/>
          <w:szCs w:val="24"/>
        </w:rPr>
        <w:t>o presentados en el período 2014</w:t>
      </w:r>
      <w:r w:rsidRPr="00485619">
        <w:rPr>
          <w:rFonts w:ascii="Verdana" w:hAnsi="Verdana"/>
          <w:sz w:val="24"/>
          <w:szCs w:val="24"/>
        </w:rPr>
        <w:t>-201</w:t>
      </w:r>
      <w:r w:rsidR="00213B90" w:rsidRPr="00485619">
        <w:rPr>
          <w:rFonts w:ascii="Verdana" w:hAnsi="Verdana"/>
          <w:sz w:val="24"/>
          <w:szCs w:val="24"/>
        </w:rPr>
        <w:t>5</w:t>
      </w:r>
      <w:bookmarkEnd w:id="6"/>
    </w:p>
    <w:p w14:paraId="539D6221" w14:textId="77777777" w:rsidR="00833254" w:rsidRDefault="00833254" w:rsidP="00485619">
      <w:pPr>
        <w:spacing w:after="0" w:line="240" w:lineRule="auto"/>
        <w:jc w:val="both"/>
        <w:rPr>
          <w:rFonts w:ascii="Verdana" w:eastAsia="Times New Roman" w:hAnsi="Verdana" w:cs="Arial"/>
          <w:sz w:val="24"/>
          <w:szCs w:val="24"/>
          <w:lang w:val="es-ES" w:eastAsia="es-ES"/>
        </w:rPr>
      </w:pPr>
    </w:p>
    <w:p w14:paraId="1A30CB01" w14:textId="77777777" w:rsidR="00B47BCA" w:rsidRPr="00485619" w:rsidRDefault="00B47BCA" w:rsidP="00485619">
      <w:pPr>
        <w:spacing w:after="0" w:line="240" w:lineRule="auto"/>
        <w:jc w:val="both"/>
        <w:rPr>
          <w:rFonts w:ascii="Verdana" w:eastAsia="Times New Roman" w:hAnsi="Verdana" w:cs="Arial"/>
          <w:sz w:val="24"/>
          <w:szCs w:val="24"/>
          <w:lang w:val="es-ES" w:eastAsia="es-ES"/>
        </w:rPr>
      </w:pPr>
    </w:p>
    <w:p w14:paraId="57CA8166" w14:textId="77777777" w:rsidR="006A6EA9" w:rsidRPr="00485619" w:rsidRDefault="006A6EA9" w:rsidP="00485619">
      <w:pPr>
        <w:pStyle w:val="Ttulo2"/>
        <w:numPr>
          <w:ilvl w:val="0"/>
          <w:numId w:val="27"/>
        </w:numPr>
        <w:jc w:val="both"/>
        <w:rPr>
          <w:rFonts w:ascii="Verdana" w:hAnsi="Verdana"/>
          <w:sz w:val="24"/>
          <w:szCs w:val="24"/>
        </w:rPr>
      </w:pPr>
      <w:bookmarkStart w:id="7" w:name="_Toc444697504"/>
      <w:r w:rsidRPr="00485619">
        <w:rPr>
          <w:rFonts w:ascii="Verdana" w:hAnsi="Verdana"/>
          <w:sz w:val="24"/>
          <w:szCs w:val="24"/>
        </w:rPr>
        <w:t>Recurso Humano</w:t>
      </w:r>
      <w:bookmarkEnd w:id="7"/>
    </w:p>
    <w:p w14:paraId="0ED31819" w14:textId="77777777" w:rsidR="006A6EA9" w:rsidRPr="00485619" w:rsidRDefault="006A6EA9" w:rsidP="00485619">
      <w:pPr>
        <w:spacing w:after="0" w:line="240" w:lineRule="auto"/>
        <w:jc w:val="both"/>
        <w:rPr>
          <w:rFonts w:ascii="Verdana" w:eastAsia="Times New Roman" w:hAnsi="Verdana" w:cs="Arial"/>
          <w:sz w:val="24"/>
          <w:szCs w:val="24"/>
          <w:lang w:val="es-ES" w:eastAsia="es-ES"/>
        </w:rPr>
      </w:pPr>
    </w:p>
    <w:p w14:paraId="53503C17"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Este apartado corresponde a la evaluación de la formación que poseen los Encargados de los Archivos Centrales del Sistema Nacional de Archivos, así como su posicionamiento a nivel institucional, para lo cual se tomó en cuenta cuatro variables: </w:t>
      </w:r>
    </w:p>
    <w:p w14:paraId="481E235C" w14:textId="77777777" w:rsidR="00833254" w:rsidRPr="00485619" w:rsidRDefault="00833254" w:rsidP="00485619">
      <w:pPr>
        <w:spacing w:after="0" w:line="240" w:lineRule="auto"/>
        <w:jc w:val="both"/>
        <w:rPr>
          <w:rFonts w:ascii="Verdana" w:eastAsia="Times New Roman" w:hAnsi="Verdana" w:cs="Times New Roman"/>
          <w:sz w:val="24"/>
          <w:szCs w:val="24"/>
          <w:lang w:val="es-ES" w:eastAsia="es-ES"/>
        </w:rPr>
      </w:pPr>
    </w:p>
    <w:p w14:paraId="473F5491" w14:textId="77777777" w:rsidR="006A6EA9" w:rsidRPr="00485619" w:rsidRDefault="006A6EA9" w:rsidP="00485619">
      <w:pPr>
        <w:numPr>
          <w:ilvl w:val="1"/>
          <w:numId w:val="4"/>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Apoyo institucional</w:t>
      </w:r>
    </w:p>
    <w:p w14:paraId="639C17D7" w14:textId="77777777" w:rsidR="006A6EA9" w:rsidRPr="00485619" w:rsidRDefault="006A6EA9" w:rsidP="00485619">
      <w:pPr>
        <w:numPr>
          <w:ilvl w:val="1"/>
          <w:numId w:val="4"/>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Existencia de una plaza formalizada para la Unidad de Archivo Central en la institución</w:t>
      </w:r>
    </w:p>
    <w:p w14:paraId="764B72C9" w14:textId="77777777" w:rsidR="006A6EA9" w:rsidRPr="00485619" w:rsidRDefault="006A6EA9" w:rsidP="00485619">
      <w:pPr>
        <w:numPr>
          <w:ilvl w:val="1"/>
          <w:numId w:val="4"/>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Inclusión de las Unidades de Archivo Central en el organigrama institucional</w:t>
      </w:r>
    </w:p>
    <w:p w14:paraId="477F8780" w14:textId="77777777" w:rsidR="006A6EA9" w:rsidRPr="00485619" w:rsidRDefault="006A6EA9" w:rsidP="00485619">
      <w:pPr>
        <w:numPr>
          <w:ilvl w:val="1"/>
          <w:numId w:val="4"/>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Formación académica del Encargado de Archivo Central</w:t>
      </w:r>
    </w:p>
    <w:p w14:paraId="027E045C" w14:textId="77777777" w:rsidR="006A6EA9" w:rsidRPr="00485619" w:rsidRDefault="006A6EA9" w:rsidP="00485619">
      <w:pPr>
        <w:spacing w:after="0" w:line="240" w:lineRule="auto"/>
        <w:jc w:val="both"/>
        <w:rPr>
          <w:rFonts w:ascii="Verdana" w:eastAsia="Times New Roman" w:hAnsi="Verdana" w:cs="Arial"/>
          <w:sz w:val="24"/>
          <w:szCs w:val="24"/>
          <w:highlight w:val="yellow"/>
          <w:lang w:val="es-ES" w:eastAsia="es-ES"/>
        </w:rPr>
      </w:pPr>
    </w:p>
    <w:p w14:paraId="3779DC25"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Según los datos estadísticos obtenidos de las variables antes mencionadas se desprende lo siguiente: </w:t>
      </w:r>
    </w:p>
    <w:p w14:paraId="58FF3D0D"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52D602C0" w14:textId="77777777" w:rsidR="006A6EA9" w:rsidRPr="00485619" w:rsidRDefault="00FE0D66"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 las 119</w:t>
      </w:r>
      <w:r w:rsidR="006A6EA9" w:rsidRPr="00485619">
        <w:rPr>
          <w:rFonts w:ascii="Verdana" w:eastAsia="Times New Roman" w:hAnsi="Verdana" w:cs="Times New Roman"/>
          <w:sz w:val="24"/>
          <w:szCs w:val="24"/>
          <w:lang w:val="es-ES" w:eastAsia="es-ES"/>
        </w:rPr>
        <w:t xml:space="preserve"> instituciones evalua</w:t>
      </w:r>
      <w:r w:rsidR="002F740F" w:rsidRPr="00485619">
        <w:rPr>
          <w:rFonts w:ascii="Verdana" w:eastAsia="Times New Roman" w:hAnsi="Verdana" w:cs="Times New Roman"/>
          <w:sz w:val="24"/>
          <w:szCs w:val="24"/>
          <w:lang w:val="es-ES" w:eastAsia="es-ES"/>
        </w:rPr>
        <w:t xml:space="preserve">das en este informe, </w:t>
      </w:r>
      <w:r w:rsidRPr="00485619">
        <w:rPr>
          <w:rFonts w:ascii="Verdana" w:eastAsia="Times New Roman" w:hAnsi="Verdana" w:cs="Times New Roman"/>
          <w:sz w:val="24"/>
          <w:szCs w:val="24"/>
          <w:lang w:val="es-ES" w:eastAsia="es-ES"/>
        </w:rPr>
        <w:t>79 (66,4%)</w:t>
      </w:r>
      <w:r w:rsidR="002F740F" w:rsidRPr="00485619">
        <w:rPr>
          <w:rFonts w:ascii="Verdana" w:eastAsia="Times New Roman" w:hAnsi="Verdana" w:cs="Times New Roman"/>
          <w:sz w:val="24"/>
          <w:szCs w:val="24"/>
          <w:lang w:val="es-ES" w:eastAsia="es-ES"/>
        </w:rPr>
        <w:t xml:space="preserve"> mencionaron</w:t>
      </w:r>
      <w:r w:rsidR="006A6EA9" w:rsidRPr="00485619">
        <w:rPr>
          <w:rFonts w:ascii="Verdana" w:eastAsia="Times New Roman" w:hAnsi="Verdana" w:cs="Times New Roman"/>
          <w:sz w:val="24"/>
          <w:szCs w:val="24"/>
          <w:lang w:val="es-ES" w:eastAsia="es-ES"/>
        </w:rPr>
        <w:t xml:space="preserve"> tener apoy</w:t>
      </w:r>
      <w:r w:rsidR="002F740F" w:rsidRPr="00485619">
        <w:rPr>
          <w:rFonts w:ascii="Verdana" w:eastAsia="Times New Roman" w:hAnsi="Verdana" w:cs="Times New Roman"/>
          <w:sz w:val="24"/>
          <w:szCs w:val="24"/>
          <w:lang w:val="es-ES" w:eastAsia="es-ES"/>
        </w:rPr>
        <w:t>o i</w:t>
      </w:r>
      <w:r w:rsidRPr="00485619">
        <w:rPr>
          <w:rFonts w:ascii="Verdana" w:eastAsia="Times New Roman" w:hAnsi="Verdana" w:cs="Times New Roman"/>
          <w:sz w:val="24"/>
          <w:szCs w:val="24"/>
          <w:lang w:val="es-ES" w:eastAsia="es-ES"/>
        </w:rPr>
        <w:t>nstitucional de manera total y 37</w:t>
      </w:r>
      <w:r w:rsidR="002F740F"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 xml:space="preserve">(31,1%) </w:t>
      </w:r>
      <w:r w:rsidR="002F740F" w:rsidRPr="00485619">
        <w:rPr>
          <w:rFonts w:ascii="Verdana" w:eastAsia="Times New Roman" w:hAnsi="Verdana" w:cs="Times New Roman"/>
          <w:sz w:val="24"/>
          <w:szCs w:val="24"/>
          <w:lang w:val="es-ES" w:eastAsia="es-ES"/>
        </w:rPr>
        <w:t>indicaron</w:t>
      </w:r>
      <w:r w:rsidR="006A6EA9" w:rsidRPr="00485619">
        <w:rPr>
          <w:rFonts w:ascii="Verdana" w:eastAsia="Times New Roman" w:hAnsi="Verdana" w:cs="Times New Roman"/>
          <w:sz w:val="24"/>
          <w:szCs w:val="24"/>
          <w:lang w:val="es-ES" w:eastAsia="es-ES"/>
        </w:rPr>
        <w:t xml:space="preserve"> obtener un apoyo parc</w:t>
      </w:r>
      <w:r w:rsidRPr="00485619">
        <w:rPr>
          <w:rFonts w:ascii="Verdana" w:eastAsia="Times New Roman" w:hAnsi="Verdana" w:cs="Times New Roman"/>
          <w:sz w:val="24"/>
          <w:szCs w:val="24"/>
          <w:lang w:val="es-ES" w:eastAsia="es-ES"/>
        </w:rPr>
        <w:t xml:space="preserve">ial. Además, 108 (90,8%) </w:t>
      </w:r>
      <w:r w:rsidR="00AC62CC" w:rsidRPr="00485619">
        <w:rPr>
          <w:rFonts w:ascii="Verdana" w:eastAsia="Times New Roman" w:hAnsi="Verdana" w:cs="Times New Roman"/>
          <w:sz w:val="24"/>
          <w:szCs w:val="24"/>
          <w:lang w:val="es-ES" w:eastAsia="es-ES"/>
        </w:rPr>
        <w:t>señalaron</w:t>
      </w:r>
      <w:r w:rsidR="006A6EA9" w:rsidRPr="00485619">
        <w:rPr>
          <w:rFonts w:ascii="Verdana" w:eastAsia="Times New Roman" w:hAnsi="Verdana" w:cs="Times New Roman"/>
          <w:sz w:val="24"/>
          <w:szCs w:val="24"/>
          <w:lang w:val="es-ES" w:eastAsia="es-ES"/>
        </w:rPr>
        <w:t xml:space="preserve"> tener una plaza formalizada para el Archivo Central. </w:t>
      </w:r>
    </w:p>
    <w:p w14:paraId="77345038"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2CF677B2" w14:textId="77777777" w:rsidR="006A6EA9" w:rsidRPr="00485619" w:rsidRDefault="006A6EA9" w:rsidP="00485619">
      <w:pPr>
        <w:spacing w:after="0" w:line="240" w:lineRule="auto"/>
        <w:jc w:val="both"/>
        <w:rPr>
          <w:rFonts w:ascii="Verdana" w:eastAsia="Times New Roman" w:hAnsi="Verdana" w:cs="Arial"/>
          <w:sz w:val="24"/>
          <w:szCs w:val="24"/>
          <w:highlight w:val="yellow"/>
          <w:lang w:val="es-ES" w:eastAsia="es-ES"/>
        </w:rPr>
      </w:pPr>
      <w:r w:rsidRPr="00485619">
        <w:rPr>
          <w:rFonts w:ascii="Verdana" w:eastAsia="Times New Roman" w:hAnsi="Verdana" w:cs="Times New Roman"/>
          <w:sz w:val="24"/>
          <w:szCs w:val="24"/>
          <w:lang w:val="es-ES" w:eastAsia="es-ES"/>
        </w:rPr>
        <w:t>Según, los resultados obtenidos en estas dos var</w:t>
      </w:r>
      <w:r w:rsidR="00FE0D66" w:rsidRPr="00485619">
        <w:rPr>
          <w:rFonts w:ascii="Verdana" w:eastAsia="Times New Roman" w:hAnsi="Verdana" w:cs="Times New Roman"/>
          <w:sz w:val="24"/>
          <w:szCs w:val="24"/>
          <w:lang w:val="es-ES" w:eastAsia="es-ES"/>
        </w:rPr>
        <w:t>iables, es evidente que el 97,5</w:t>
      </w:r>
      <w:r w:rsidRPr="00485619">
        <w:rPr>
          <w:rFonts w:ascii="Verdana" w:eastAsia="Times New Roman" w:hAnsi="Verdana" w:cs="Times New Roman"/>
          <w:sz w:val="24"/>
          <w:szCs w:val="24"/>
          <w:lang w:val="es-ES" w:eastAsia="es-ES"/>
        </w:rPr>
        <w:t xml:space="preserve">% de las entidades evaluadas </w:t>
      </w:r>
      <w:r w:rsidR="00FE0D66" w:rsidRPr="00485619">
        <w:rPr>
          <w:rFonts w:ascii="Verdana" w:eastAsia="Times New Roman" w:hAnsi="Verdana" w:cs="Times New Roman"/>
          <w:sz w:val="24"/>
          <w:szCs w:val="24"/>
          <w:lang w:val="es-ES" w:eastAsia="es-ES"/>
        </w:rPr>
        <w:t>manifiestan contar con algún</w:t>
      </w:r>
      <w:r w:rsidRPr="00485619">
        <w:rPr>
          <w:rFonts w:ascii="Verdana" w:eastAsia="Times New Roman" w:hAnsi="Verdana" w:cs="Times New Roman"/>
          <w:sz w:val="24"/>
          <w:szCs w:val="24"/>
          <w:lang w:val="es-ES" w:eastAsia="es-ES"/>
        </w:rPr>
        <w:t xml:space="preserve"> apoyo instituc</w:t>
      </w:r>
      <w:r w:rsidR="001C62F2" w:rsidRPr="00485619">
        <w:rPr>
          <w:rFonts w:ascii="Verdana" w:eastAsia="Times New Roman" w:hAnsi="Verdana" w:cs="Times New Roman"/>
          <w:sz w:val="24"/>
          <w:szCs w:val="24"/>
          <w:lang w:val="es-ES" w:eastAsia="es-ES"/>
        </w:rPr>
        <w:t>ional en materia archivística, s</w:t>
      </w:r>
      <w:r w:rsidRPr="00485619">
        <w:rPr>
          <w:rFonts w:ascii="Verdana" w:eastAsia="Times New Roman" w:hAnsi="Verdana" w:cs="Times New Roman"/>
          <w:sz w:val="24"/>
          <w:szCs w:val="24"/>
          <w:lang w:val="es-ES" w:eastAsia="es-ES"/>
        </w:rPr>
        <w:t>in embargo</w:t>
      </w:r>
      <w:r w:rsidR="00FE0D66" w:rsidRPr="00485619">
        <w:rPr>
          <w:rFonts w:ascii="Verdana" w:eastAsia="Times New Roman" w:hAnsi="Verdana" w:cs="Times New Roman"/>
          <w:sz w:val="24"/>
          <w:szCs w:val="24"/>
          <w:lang w:val="es-ES" w:eastAsia="es-ES"/>
        </w:rPr>
        <w:t xml:space="preserve"> solamente</w:t>
      </w:r>
      <w:r w:rsidRPr="00485619">
        <w:rPr>
          <w:rFonts w:ascii="Verdana" w:eastAsia="Times New Roman" w:hAnsi="Verdana" w:cs="Times New Roman"/>
          <w:sz w:val="24"/>
          <w:szCs w:val="24"/>
          <w:lang w:val="es-ES" w:eastAsia="es-ES"/>
        </w:rPr>
        <w:t xml:space="preserve"> </w:t>
      </w:r>
      <w:r w:rsidR="00FE0D66" w:rsidRPr="00485619">
        <w:rPr>
          <w:rFonts w:ascii="Verdana" w:eastAsia="Times New Roman" w:hAnsi="Verdana" w:cs="Times New Roman"/>
          <w:sz w:val="24"/>
          <w:szCs w:val="24"/>
          <w:lang w:val="es-ES" w:eastAsia="es-ES"/>
        </w:rPr>
        <w:t>73 (61,3%)</w:t>
      </w:r>
      <w:r w:rsidRPr="00485619">
        <w:rPr>
          <w:rFonts w:ascii="Verdana" w:eastAsia="Times New Roman" w:hAnsi="Verdana" w:cs="Times New Roman"/>
          <w:sz w:val="24"/>
          <w:szCs w:val="24"/>
          <w:lang w:val="es-ES" w:eastAsia="es-ES"/>
        </w:rPr>
        <w:t xml:space="preserve"> de ellas reflejan el Archivo Central dentro de su organigrama </w:t>
      </w:r>
      <w:r w:rsidR="00FE0D66" w:rsidRPr="00485619">
        <w:rPr>
          <w:rFonts w:ascii="Verdana" w:eastAsia="Times New Roman" w:hAnsi="Verdana" w:cs="Times New Roman"/>
          <w:sz w:val="24"/>
          <w:szCs w:val="24"/>
          <w:lang w:val="es-ES" w:eastAsia="es-ES"/>
        </w:rPr>
        <w:t xml:space="preserve">institucional; esto quiere decir que </w:t>
      </w:r>
      <w:r w:rsidRPr="00485619">
        <w:rPr>
          <w:rFonts w:ascii="Verdana" w:eastAsia="Times New Roman" w:hAnsi="Verdana" w:cs="Times New Roman"/>
          <w:sz w:val="24"/>
          <w:szCs w:val="24"/>
          <w:lang w:val="es-ES" w:eastAsia="es-ES"/>
        </w:rPr>
        <w:t xml:space="preserve">46 instituciones </w:t>
      </w:r>
      <w:r w:rsidR="00FE0D66" w:rsidRPr="00485619">
        <w:rPr>
          <w:rFonts w:ascii="Verdana" w:eastAsia="Times New Roman" w:hAnsi="Verdana" w:cs="Times New Roman"/>
          <w:sz w:val="24"/>
          <w:szCs w:val="24"/>
          <w:lang w:val="es-ES" w:eastAsia="es-ES"/>
        </w:rPr>
        <w:t xml:space="preserve">(38,7%) </w:t>
      </w:r>
      <w:r w:rsidRPr="00485619">
        <w:rPr>
          <w:rFonts w:ascii="Verdana" w:eastAsia="Times New Roman" w:hAnsi="Verdana" w:cs="Times New Roman"/>
          <w:sz w:val="24"/>
          <w:szCs w:val="24"/>
          <w:lang w:val="es-ES" w:eastAsia="es-ES"/>
        </w:rPr>
        <w:t>aún no</w:t>
      </w:r>
      <w:r w:rsidR="00FE0D66" w:rsidRPr="00485619">
        <w:rPr>
          <w:rFonts w:ascii="Verdana" w:eastAsia="Times New Roman" w:hAnsi="Verdana" w:cs="Times New Roman"/>
          <w:sz w:val="24"/>
          <w:szCs w:val="24"/>
          <w:lang w:val="es-ES" w:eastAsia="es-ES"/>
        </w:rPr>
        <w:t xml:space="preserve"> lo </w:t>
      </w:r>
      <w:r w:rsidR="00A532AF" w:rsidRPr="00485619">
        <w:rPr>
          <w:rFonts w:ascii="Verdana" w:eastAsia="Times New Roman" w:hAnsi="Verdana" w:cs="Times New Roman"/>
          <w:sz w:val="24"/>
          <w:szCs w:val="24"/>
          <w:lang w:val="es-ES" w:eastAsia="es-ES"/>
        </w:rPr>
        <w:t>hacen,</w:t>
      </w:r>
      <w:r w:rsidRPr="00485619">
        <w:rPr>
          <w:rFonts w:ascii="Verdana" w:eastAsia="Times New Roman" w:hAnsi="Verdana" w:cs="Arial"/>
          <w:sz w:val="24"/>
          <w:szCs w:val="24"/>
          <w:lang w:val="es-ES" w:eastAsia="es-ES"/>
        </w:rPr>
        <w:t xml:space="preserve"> lo cual comprueba que no se han realizado los trámites necesarios para formalizar la creación de la Unidad de Archivo Central. </w:t>
      </w:r>
    </w:p>
    <w:p w14:paraId="065AAB2E"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5F65AA13" w14:textId="77777777" w:rsidR="006A6EA9" w:rsidRPr="00485619" w:rsidRDefault="001C62F2"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encontró</w:t>
      </w:r>
      <w:r w:rsidR="00A532AF" w:rsidRPr="00485619">
        <w:rPr>
          <w:rFonts w:ascii="Verdana" w:eastAsia="Times New Roman" w:hAnsi="Verdana" w:cs="Times New Roman"/>
          <w:sz w:val="24"/>
          <w:szCs w:val="24"/>
          <w:lang w:val="es-ES" w:eastAsia="es-ES"/>
        </w:rPr>
        <w:t xml:space="preserve"> que 74 </w:t>
      </w:r>
      <w:r w:rsidR="006A6EA9" w:rsidRPr="00485619">
        <w:rPr>
          <w:rFonts w:ascii="Verdana" w:eastAsia="Times New Roman" w:hAnsi="Verdana" w:cs="Times New Roman"/>
          <w:sz w:val="24"/>
          <w:szCs w:val="24"/>
          <w:lang w:val="es-ES" w:eastAsia="es-ES"/>
        </w:rPr>
        <w:t>de las instituciones cuentan con un encargado de Archivo Central con</w:t>
      </w:r>
      <w:r w:rsidR="00A532AF" w:rsidRPr="00485619">
        <w:rPr>
          <w:rFonts w:ascii="Verdana" w:eastAsia="Times New Roman" w:hAnsi="Verdana" w:cs="Times New Roman"/>
          <w:sz w:val="24"/>
          <w:szCs w:val="24"/>
          <w:lang w:val="es-ES" w:eastAsia="es-ES"/>
        </w:rPr>
        <w:t xml:space="preserve"> al menos</w:t>
      </w:r>
      <w:r w:rsidR="006A6EA9" w:rsidRPr="00485619">
        <w:rPr>
          <w:rFonts w:ascii="Verdana" w:eastAsia="Times New Roman" w:hAnsi="Verdana" w:cs="Times New Roman"/>
          <w:sz w:val="24"/>
          <w:szCs w:val="24"/>
          <w:lang w:val="es-ES" w:eastAsia="es-ES"/>
        </w:rPr>
        <w:t xml:space="preserve"> formación en Archivística</w:t>
      </w:r>
      <w:r w:rsidR="00A532AF" w:rsidRPr="00485619">
        <w:rPr>
          <w:rFonts w:ascii="Verdana" w:eastAsia="Times New Roman" w:hAnsi="Verdana" w:cs="Times New Roman"/>
          <w:sz w:val="24"/>
          <w:szCs w:val="24"/>
          <w:lang w:val="es-ES" w:eastAsia="es-ES"/>
        </w:rPr>
        <w:t xml:space="preserve">. </w:t>
      </w:r>
      <w:r w:rsidR="006A6EA9" w:rsidRPr="00485619">
        <w:rPr>
          <w:rFonts w:ascii="Verdana" w:eastAsia="Times New Roman" w:hAnsi="Verdana" w:cs="Times New Roman"/>
          <w:sz w:val="24"/>
          <w:szCs w:val="24"/>
          <w:lang w:val="es-ES" w:eastAsia="es-ES"/>
        </w:rPr>
        <w:t>Seguidamente, se muestra un cuadro que detalla la formación académica de los encargados de archivos centrales</w:t>
      </w:r>
      <w:r w:rsidR="00A532AF" w:rsidRPr="00485619">
        <w:rPr>
          <w:rFonts w:ascii="Verdana" w:eastAsia="Times New Roman" w:hAnsi="Verdana" w:cs="Times New Roman"/>
          <w:sz w:val="24"/>
          <w:szCs w:val="24"/>
          <w:lang w:val="es-ES" w:eastAsia="es-ES"/>
        </w:rPr>
        <w:t xml:space="preserve"> que presentaron el informe 2014-2015</w:t>
      </w:r>
      <w:r w:rsidR="006A6EA9" w:rsidRPr="00485619">
        <w:rPr>
          <w:rFonts w:ascii="Verdana" w:eastAsia="Times New Roman" w:hAnsi="Verdana" w:cs="Times New Roman"/>
          <w:sz w:val="24"/>
          <w:szCs w:val="24"/>
          <w:lang w:val="es-ES" w:eastAsia="es-ES"/>
        </w:rPr>
        <w:t xml:space="preserve">. </w:t>
      </w:r>
    </w:p>
    <w:p w14:paraId="52A42573" w14:textId="77777777" w:rsidR="00833254" w:rsidRDefault="00833254" w:rsidP="00485619">
      <w:pPr>
        <w:spacing w:after="0" w:line="240" w:lineRule="auto"/>
        <w:jc w:val="both"/>
        <w:rPr>
          <w:rFonts w:ascii="Verdana" w:eastAsia="Times New Roman" w:hAnsi="Verdana" w:cs="Times New Roman"/>
          <w:sz w:val="24"/>
          <w:szCs w:val="24"/>
          <w:highlight w:val="yellow"/>
          <w:lang w:val="es-ES" w:eastAsia="es-ES"/>
        </w:rPr>
      </w:pPr>
    </w:p>
    <w:p w14:paraId="033ADB55" w14:textId="77777777" w:rsidR="00B47BCA" w:rsidRDefault="00B47BCA" w:rsidP="00485619">
      <w:pPr>
        <w:spacing w:after="0" w:line="240" w:lineRule="auto"/>
        <w:jc w:val="both"/>
        <w:rPr>
          <w:rFonts w:ascii="Verdana" w:eastAsia="Times New Roman" w:hAnsi="Verdana" w:cs="Times New Roman"/>
          <w:sz w:val="24"/>
          <w:szCs w:val="24"/>
          <w:highlight w:val="yellow"/>
          <w:lang w:val="es-ES" w:eastAsia="es-ES"/>
        </w:rPr>
      </w:pPr>
    </w:p>
    <w:p w14:paraId="1B61C397" w14:textId="77777777" w:rsidR="00760686" w:rsidRDefault="00760686" w:rsidP="00485619">
      <w:pPr>
        <w:spacing w:after="0" w:line="240" w:lineRule="auto"/>
        <w:jc w:val="both"/>
        <w:rPr>
          <w:rFonts w:ascii="Verdana" w:eastAsia="Times New Roman" w:hAnsi="Verdana" w:cs="Times New Roman"/>
          <w:sz w:val="24"/>
          <w:szCs w:val="24"/>
          <w:highlight w:val="yellow"/>
          <w:lang w:val="es-ES" w:eastAsia="es-ES"/>
        </w:rPr>
      </w:pPr>
    </w:p>
    <w:p w14:paraId="30F75138" w14:textId="77777777" w:rsidR="00760686" w:rsidRDefault="00760686" w:rsidP="00485619">
      <w:pPr>
        <w:spacing w:after="0" w:line="240" w:lineRule="auto"/>
        <w:jc w:val="both"/>
        <w:rPr>
          <w:rFonts w:ascii="Verdana" w:eastAsia="Times New Roman" w:hAnsi="Verdana" w:cs="Times New Roman"/>
          <w:sz w:val="24"/>
          <w:szCs w:val="24"/>
          <w:highlight w:val="yellow"/>
          <w:lang w:val="es-ES" w:eastAsia="es-ES"/>
        </w:rPr>
      </w:pPr>
    </w:p>
    <w:p w14:paraId="1DA80833" w14:textId="77777777" w:rsidR="002A3CBC" w:rsidRDefault="002A3CBC" w:rsidP="00485619">
      <w:pPr>
        <w:spacing w:after="0" w:line="240" w:lineRule="auto"/>
        <w:jc w:val="both"/>
        <w:rPr>
          <w:rFonts w:ascii="Verdana" w:eastAsia="Times New Roman" w:hAnsi="Verdana" w:cs="Times New Roman"/>
          <w:sz w:val="24"/>
          <w:szCs w:val="24"/>
          <w:highlight w:val="yellow"/>
          <w:lang w:val="es-ES" w:eastAsia="es-ES"/>
        </w:rPr>
      </w:pPr>
    </w:p>
    <w:p w14:paraId="524F61A5" w14:textId="77777777" w:rsidR="002A3CBC" w:rsidRDefault="002A3CBC" w:rsidP="00485619">
      <w:pPr>
        <w:spacing w:after="0" w:line="240" w:lineRule="auto"/>
        <w:jc w:val="both"/>
        <w:rPr>
          <w:rFonts w:ascii="Verdana" w:eastAsia="Times New Roman" w:hAnsi="Verdana" w:cs="Times New Roman"/>
          <w:sz w:val="24"/>
          <w:szCs w:val="24"/>
          <w:highlight w:val="yellow"/>
          <w:lang w:val="es-ES" w:eastAsia="es-ES"/>
        </w:rPr>
      </w:pPr>
    </w:p>
    <w:p w14:paraId="4A61DDF8" w14:textId="77777777" w:rsidR="002A3CBC" w:rsidRDefault="002A3CBC" w:rsidP="00485619">
      <w:pPr>
        <w:spacing w:after="0" w:line="240" w:lineRule="auto"/>
        <w:jc w:val="both"/>
        <w:rPr>
          <w:rFonts w:ascii="Verdana" w:eastAsia="Times New Roman" w:hAnsi="Verdana" w:cs="Times New Roman"/>
          <w:sz w:val="24"/>
          <w:szCs w:val="24"/>
          <w:highlight w:val="yellow"/>
          <w:lang w:val="es-ES" w:eastAsia="es-ES"/>
        </w:rPr>
      </w:pPr>
    </w:p>
    <w:p w14:paraId="278D4392" w14:textId="77777777" w:rsidR="002A3CBC" w:rsidRDefault="002A3CBC" w:rsidP="00485619">
      <w:pPr>
        <w:spacing w:after="0" w:line="240" w:lineRule="auto"/>
        <w:jc w:val="both"/>
        <w:rPr>
          <w:rFonts w:ascii="Verdana" w:eastAsia="Times New Roman" w:hAnsi="Verdana" w:cs="Times New Roman"/>
          <w:sz w:val="24"/>
          <w:szCs w:val="24"/>
          <w:highlight w:val="yellow"/>
          <w:lang w:val="es-ES" w:eastAsia="es-ES"/>
        </w:rPr>
      </w:pPr>
    </w:p>
    <w:p w14:paraId="03FCF432" w14:textId="77777777" w:rsidR="00B47BCA" w:rsidRPr="00485619" w:rsidRDefault="00B47BCA" w:rsidP="00485619">
      <w:pPr>
        <w:spacing w:after="0" w:line="240" w:lineRule="auto"/>
        <w:jc w:val="both"/>
        <w:rPr>
          <w:rFonts w:ascii="Verdana" w:eastAsia="Times New Roman" w:hAnsi="Verdana" w:cs="Times New Roman"/>
          <w:sz w:val="24"/>
          <w:szCs w:val="24"/>
          <w:highlight w:val="yellow"/>
          <w:lang w:val="es-ES" w:eastAsia="es-ES"/>
        </w:rPr>
      </w:pPr>
    </w:p>
    <w:tbl>
      <w:tblPr>
        <w:tblW w:w="7396" w:type="dxa"/>
        <w:jc w:val="center"/>
        <w:tblCellMar>
          <w:left w:w="70" w:type="dxa"/>
          <w:right w:w="70" w:type="dxa"/>
        </w:tblCellMar>
        <w:tblLook w:val="04A0" w:firstRow="1" w:lastRow="0" w:firstColumn="1" w:lastColumn="0" w:noHBand="0" w:noVBand="1"/>
      </w:tblPr>
      <w:tblGrid>
        <w:gridCol w:w="2564"/>
        <w:gridCol w:w="2235"/>
        <w:gridCol w:w="2597"/>
      </w:tblGrid>
      <w:tr w:rsidR="00A532AF" w:rsidRPr="00485619" w14:paraId="415EED18" w14:textId="77777777" w:rsidTr="00A532AF">
        <w:trPr>
          <w:trHeight w:val="296"/>
          <w:jc w:val="center"/>
        </w:trPr>
        <w:tc>
          <w:tcPr>
            <w:tcW w:w="7396" w:type="dxa"/>
            <w:gridSpan w:val="3"/>
            <w:tcBorders>
              <w:top w:val="nil"/>
              <w:left w:val="nil"/>
              <w:bottom w:val="nil"/>
              <w:right w:val="nil"/>
            </w:tcBorders>
            <w:shd w:val="clear" w:color="auto" w:fill="auto"/>
            <w:noWrap/>
            <w:vAlign w:val="bottom"/>
            <w:hideMark/>
          </w:tcPr>
          <w:p w14:paraId="7E3D86C3" w14:textId="74862534" w:rsidR="00833254" w:rsidRPr="00EE7BA4" w:rsidRDefault="00833254" w:rsidP="00B47BCA">
            <w:pPr>
              <w:spacing w:after="0" w:line="240" w:lineRule="auto"/>
              <w:jc w:val="center"/>
              <w:rPr>
                <w:rFonts w:ascii="Verdana" w:eastAsia="Times New Roman" w:hAnsi="Verdana" w:cs="Arial"/>
                <w:b/>
                <w:bCs/>
                <w:color w:val="000000"/>
                <w:lang w:eastAsia="es-CR"/>
              </w:rPr>
            </w:pPr>
            <w:r w:rsidRPr="00EE7BA4">
              <w:rPr>
                <w:rFonts w:ascii="Verdana" w:eastAsia="Times New Roman" w:hAnsi="Verdana" w:cs="Arial"/>
                <w:b/>
                <w:bCs/>
                <w:color w:val="000000"/>
                <w:lang w:eastAsia="es-CR"/>
              </w:rPr>
              <w:t>Cuadro 1</w:t>
            </w:r>
          </w:p>
          <w:p w14:paraId="1967ECD0" w14:textId="77777777" w:rsidR="00A532AF" w:rsidRPr="00EE7BA4" w:rsidRDefault="00833254" w:rsidP="00B47BCA">
            <w:pPr>
              <w:spacing w:after="0" w:line="240" w:lineRule="auto"/>
              <w:jc w:val="center"/>
              <w:rPr>
                <w:rFonts w:ascii="Verdana" w:eastAsia="Times New Roman" w:hAnsi="Verdana" w:cs="Arial"/>
                <w:b/>
                <w:bCs/>
                <w:color w:val="000000"/>
                <w:lang w:eastAsia="es-CR"/>
              </w:rPr>
            </w:pPr>
            <w:r w:rsidRPr="00EE7BA4">
              <w:rPr>
                <w:rFonts w:ascii="Verdana" w:eastAsia="Times New Roman" w:hAnsi="Verdana" w:cs="Arial"/>
                <w:b/>
                <w:bCs/>
                <w:color w:val="000000"/>
                <w:lang w:eastAsia="es-CR"/>
              </w:rPr>
              <w:t>Formación académica de encargados de archivos centrales, período 2014-2015</w:t>
            </w:r>
          </w:p>
          <w:p w14:paraId="42F4B8B6" w14:textId="77777777" w:rsidR="00833254" w:rsidRPr="00EE7BA4" w:rsidRDefault="00833254" w:rsidP="00B47BCA">
            <w:pPr>
              <w:spacing w:after="0" w:line="240" w:lineRule="auto"/>
              <w:jc w:val="center"/>
              <w:rPr>
                <w:rFonts w:ascii="Verdana" w:eastAsia="Times New Roman" w:hAnsi="Verdana" w:cs="Times New Roman"/>
                <w:b/>
                <w:bCs/>
                <w:color w:val="000000"/>
                <w:lang w:eastAsia="es-CR"/>
              </w:rPr>
            </w:pPr>
          </w:p>
        </w:tc>
      </w:tr>
      <w:tr w:rsidR="00A532AF" w:rsidRPr="00485619" w14:paraId="64A65436" w14:textId="77777777" w:rsidTr="00A532AF">
        <w:trPr>
          <w:trHeight w:val="296"/>
          <w:jc w:val="center"/>
        </w:trPr>
        <w:tc>
          <w:tcPr>
            <w:tcW w:w="2564" w:type="dxa"/>
            <w:tcBorders>
              <w:top w:val="nil"/>
              <w:left w:val="nil"/>
              <w:bottom w:val="single" w:sz="4" w:space="0" w:color="auto"/>
              <w:right w:val="nil"/>
            </w:tcBorders>
            <w:shd w:val="clear" w:color="auto" w:fill="auto"/>
            <w:noWrap/>
            <w:vAlign w:val="bottom"/>
            <w:hideMark/>
          </w:tcPr>
          <w:p w14:paraId="71BA766D" w14:textId="77777777" w:rsidR="00A532AF" w:rsidRPr="00EE7BA4" w:rsidRDefault="00A532AF" w:rsidP="00B47BCA">
            <w:pPr>
              <w:spacing w:after="0" w:line="240" w:lineRule="auto"/>
              <w:jc w:val="center"/>
              <w:rPr>
                <w:rFonts w:ascii="Verdana" w:eastAsia="Times New Roman" w:hAnsi="Verdana" w:cs="Arial"/>
                <w:b/>
                <w:bCs/>
                <w:color w:val="000000"/>
                <w:lang w:eastAsia="es-CR"/>
              </w:rPr>
            </w:pPr>
            <w:r w:rsidRPr="00EE7BA4">
              <w:rPr>
                <w:rFonts w:ascii="Verdana" w:eastAsia="Times New Roman" w:hAnsi="Verdana" w:cs="Arial"/>
                <w:b/>
                <w:bCs/>
                <w:color w:val="000000"/>
                <w:lang w:eastAsia="es-CR"/>
              </w:rPr>
              <w:t>Formación académica</w:t>
            </w:r>
          </w:p>
        </w:tc>
        <w:tc>
          <w:tcPr>
            <w:tcW w:w="2235" w:type="dxa"/>
            <w:tcBorders>
              <w:top w:val="nil"/>
              <w:left w:val="nil"/>
              <w:bottom w:val="single" w:sz="4" w:space="0" w:color="auto"/>
              <w:right w:val="nil"/>
            </w:tcBorders>
            <w:shd w:val="clear" w:color="auto" w:fill="auto"/>
            <w:noWrap/>
            <w:vAlign w:val="bottom"/>
            <w:hideMark/>
          </w:tcPr>
          <w:p w14:paraId="195E2318" w14:textId="77777777" w:rsidR="00A532AF" w:rsidRPr="00EE7BA4" w:rsidRDefault="00A532AF" w:rsidP="00B47BCA">
            <w:pPr>
              <w:spacing w:after="0" w:line="240" w:lineRule="auto"/>
              <w:jc w:val="center"/>
              <w:rPr>
                <w:rFonts w:ascii="Verdana" w:eastAsia="Times New Roman" w:hAnsi="Verdana" w:cs="Arial"/>
                <w:b/>
                <w:bCs/>
                <w:color w:val="000000"/>
                <w:lang w:eastAsia="es-CR"/>
              </w:rPr>
            </w:pPr>
            <w:r w:rsidRPr="00EE7BA4">
              <w:rPr>
                <w:rFonts w:ascii="Verdana" w:eastAsia="Times New Roman" w:hAnsi="Verdana" w:cs="Arial"/>
                <w:b/>
                <w:bCs/>
                <w:color w:val="000000"/>
                <w:lang w:eastAsia="es-CR"/>
              </w:rPr>
              <w:t>Numero de respuestas</w:t>
            </w:r>
          </w:p>
        </w:tc>
        <w:tc>
          <w:tcPr>
            <w:tcW w:w="2597" w:type="dxa"/>
            <w:tcBorders>
              <w:top w:val="nil"/>
              <w:left w:val="nil"/>
              <w:bottom w:val="single" w:sz="4" w:space="0" w:color="auto"/>
              <w:right w:val="nil"/>
            </w:tcBorders>
            <w:shd w:val="clear" w:color="auto" w:fill="auto"/>
            <w:noWrap/>
            <w:vAlign w:val="bottom"/>
            <w:hideMark/>
          </w:tcPr>
          <w:p w14:paraId="4B750DFC" w14:textId="77777777" w:rsidR="00A532AF" w:rsidRPr="00EE7BA4" w:rsidRDefault="00A532AF" w:rsidP="00B47BCA">
            <w:pPr>
              <w:spacing w:after="0" w:line="240" w:lineRule="auto"/>
              <w:jc w:val="center"/>
              <w:rPr>
                <w:rFonts w:ascii="Verdana" w:eastAsia="Times New Roman" w:hAnsi="Verdana" w:cs="Arial"/>
                <w:b/>
                <w:bCs/>
                <w:color w:val="000000"/>
                <w:lang w:eastAsia="es-CR"/>
              </w:rPr>
            </w:pPr>
            <w:r w:rsidRPr="00EE7BA4">
              <w:rPr>
                <w:rFonts w:ascii="Verdana" w:eastAsia="Times New Roman" w:hAnsi="Verdana" w:cs="Arial"/>
                <w:b/>
                <w:bCs/>
                <w:color w:val="000000"/>
                <w:lang w:eastAsia="es-CR"/>
              </w:rPr>
              <w:t>Porcentaje de casos</w:t>
            </w:r>
          </w:p>
        </w:tc>
      </w:tr>
      <w:tr w:rsidR="00EE7BA4" w:rsidRPr="00485619" w14:paraId="1ED659FB" w14:textId="77777777" w:rsidTr="00A532AF">
        <w:trPr>
          <w:trHeight w:val="296"/>
          <w:jc w:val="center"/>
        </w:trPr>
        <w:tc>
          <w:tcPr>
            <w:tcW w:w="2564" w:type="dxa"/>
            <w:tcBorders>
              <w:top w:val="nil"/>
              <w:left w:val="nil"/>
              <w:bottom w:val="nil"/>
              <w:right w:val="nil"/>
            </w:tcBorders>
            <w:shd w:val="clear" w:color="auto" w:fill="auto"/>
            <w:noWrap/>
            <w:vAlign w:val="bottom"/>
            <w:hideMark/>
          </w:tcPr>
          <w:p w14:paraId="3EA0BC5A"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Administrador</w:t>
            </w:r>
          </w:p>
        </w:tc>
        <w:tc>
          <w:tcPr>
            <w:tcW w:w="2235" w:type="dxa"/>
            <w:tcBorders>
              <w:top w:val="nil"/>
              <w:left w:val="nil"/>
              <w:bottom w:val="nil"/>
              <w:right w:val="nil"/>
            </w:tcBorders>
            <w:shd w:val="clear" w:color="auto" w:fill="auto"/>
            <w:noWrap/>
            <w:vAlign w:val="bottom"/>
            <w:hideMark/>
          </w:tcPr>
          <w:p w14:paraId="37668EFB"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46</w:t>
            </w:r>
          </w:p>
        </w:tc>
        <w:tc>
          <w:tcPr>
            <w:tcW w:w="2597" w:type="dxa"/>
            <w:tcBorders>
              <w:top w:val="nil"/>
              <w:left w:val="nil"/>
              <w:bottom w:val="nil"/>
              <w:right w:val="nil"/>
            </w:tcBorders>
            <w:shd w:val="clear" w:color="auto" w:fill="auto"/>
            <w:noWrap/>
            <w:vAlign w:val="bottom"/>
            <w:hideMark/>
          </w:tcPr>
          <w:p w14:paraId="7487F531"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38,7</w:t>
            </w:r>
          </w:p>
        </w:tc>
      </w:tr>
      <w:tr w:rsidR="00EE7BA4" w:rsidRPr="00485619" w14:paraId="19ED4F50" w14:textId="77777777" w:rsidTr="00A532AF">
        <w:trPr>
          <w:trHeight w:val="296"/>
          <w:jc w:val="center"/>
        </w:trPr>
        <w:tc>
          <w:tcPr>
            <w:tcW w:w="2564" w:type="dxa"/>
            <w:tcBorders>
              <w:top w:val="nil"/>
              <w:left w:val="nil"/>
              <w:bottom w:val="nil"/>
              <w:right w:val="nil"/>
            </w:tcBorders>
            <w:shd w:val="clear" w:color="auto" w:fill="auto"/>
            <w:noWrap/>
            <w:vAlign w:val="bottom"/>
            <w:hideMark/>
          </w:tcPr>
          <w:p w14:paraId="2046AB5B"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Archivista</w:t>
            </w:r>
          </w:p>
        </w:tc>
        <w:tc>
          <w:tcPr>
            <w:tcW w:w="2235" w:type="dxa"/>
            <w:tcBorders>
              <w:top w:val="nil"/>
              <w:left w:val="nil"/>
              <w:bottom w:val="nil"/>
              <w:right w:val="nil"/>
            </w:tcBorders>
            <w:shd w:val="clear" w:color="auto" w:fill="auto"/>
            <w:noWrap/>
            <w:vAlign w:val="bottom"/>
            <w:hideMark/>
          </w:tcPr>
          <w:p w14:paraId="52288C3D"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74</w:t>
            </w:r>
          </w:p>
        </w:tc>
        <w:tc>
          <w:tcPr>
            <w:tcW w:w="2597" w:type="dxa"/>
            <w:tcBorders>
              <w:top w:val="nil"/>
              <w:left w:val="nil"/>
              <w:bottom w:val="nil"/>
              <w:right w:val="nil"/>
            </w:tcBorders>
            <w:shd w:val="clear" w:color="auto" w:fill="auto"/>
            <w:noWrap/>
            <w:vAlign w:val="bottom"/>
            <w:hideMark/>
          </w:tcPr>
          <w:p w14:paraId="7898D341"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62,2</w:t>
            </w:r>
          </w:p>
        </w:tc>
      </w:tr>
      <w:tr w:rsidR="00EE7BA4" w:rsidRPr="00485619" w14:paraId="7B02416C" w14:textId="77777777" w:rsidTr="00A532AF">
        <w:trPr>
          <w:trHeight w:val="296"/>
          <w:jc w:val="center"/>
        </w:trPr>
        <w:tc>
          <w:tcPr>
            <w:tcW w:w="2564" w:type="dxa"/>
            <w:tcBorders>
              <w:top w:val="nil"/>
              <w:left w:val="nil"/>
              <w:bottom w:val="nil"/>
              <w:right w:val="nil"/>
            </w:tcBorders>
            <w:shd w:val="clear" w:color="auto" w:fill="auto"/>
            <w:noWrap/>
            <w:vAlign w:val="bottom"/>
            <w:hideMark/>
          </w:tcPr>
          <w:p w14:paraId="40087CB7"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Bibliotecólogo</w:t>
            </w:r>
          </w:p>
        </w:tc>
        <w:tc>
          <w:tcPr>
            <w:tcW w:w="2235" w:type="dxa"/>
            <w:tcBorders>
              <w:top w:val="nil"/>
              <w:left w:val="nil"/>
              <w:bottom w:val="nil"/>
              <w:right w:val="nil"/>
            </w:tcBorders>
            <w:shd w:val="clear" w:color="auto" w:fill="auto"/>
            <w:noWrap/>
            <w:vAlign w:val="bottom"/>
            <w:hideMark/>
          </w:tcPr>
          <w:p w14:paraId="20A54B5A"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16</w:t>
            </w:r>
          </w:p>
        </w:tc>
        <w:tc>
          <w:tcPr>
            <w:tcW w:w="2597" w:type="dxa"/>
            <w:tcBorders>
              <w:top w:val="nil"/>
              <w:left w:val="nil"/>
              <w:bottom w:val="nil"/>
              <w:right w:val="nil"/>
            </w:tcBorders>
            <w:shd w:val="clear" w:color="auto" w:fill="auto"/>
            <w:noWrap/>
            <w:vAlign w:val="bottom"/>
            <w:hideMark/>
          </w:tcPr>
          <w:p w14:paraId="0048917E"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13,4</w:t>
            </w:r>
          </w:p>
        </w:tc>
      </w:tr>
      <w:tr w:rsidR="00EE7BA4" w:rsidRPr="00485619" w14:paraId="3800B8CA" w14:textId="77777777" w:rsidTr="0017219D">
        <w:trPr>
          <w:trHeight w:val="296"/>
          <w:jc w:val="center"/>
        </w:trPr>
        <w:tc>
          <w:tcPr>
            <w:tcW w:w="2564" w:type="dxa"/>
            <w:tcBorders>
              <w:top w:val="nil"/>
              <w:left w:val="nil"/>
              <w:right w:val="nil"/>
            </w:tcBorders>
            <w:shd w:val="clear" w:color="auto" w:fill="auto"/>
            <w:noWrap/>
            <w:vAlign w:val="bottom"/>
            <w:hideMark/>
          </w:tcPr>
          <w:p w14:paraId="2094C459"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Historiador</w:t>
            </w:r>
          </w:p>
        </w:tc>
        <w:tc>
          <w:tcPr>
            <w:tcW w:w="2235" w:type="dxa"/>
            <w:tcBorders>
              <w:top w:val="nil"/>
              <w:left w:val="nil"/>
              <w:right w:val="nil"/>
            </w:tcBorders>
            <w:shd w:val="clear" w:color="auto" w:fill="auto"/>
            <w:noWrap/>
            <w:vAlign w:val="bottom"/>
            <w:hideMark/>
          </w:tcPr>
          <w:p w14:paraId="063D52CB"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15</w:t>
            </w:r>
          </w:p>
        </w:tc>
        <w:tc>
          <w:tcPr>
            <w:tcW w:w="2597" w:type="dxa"/>
            <w:tcBorders>
              <w:top w:val="nil"/>
              <w:left w:val="nil"/>
              <w:right w:val="nil"/>
            </w:tcBorders>
            <w:shd w:val="clear" w:color="auto" w:fill="auto"/>
            <w:noWrap/>
            <w:vAlign w:val="bottom"/>
            <w:hideMark/>
          </w:tcPr>
          <w:p w14:paraId="799DDBA8"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12,6</w:t>
            </w:r>
          </w:p>
        </w:tc>
      </w:tr>
      <w:tr w:rsidR="00EE7BA4" w:rsidRPr="00485619" w14:paraId="3C8FBCE9" w14:textId="77777777" w:rsidTr="0017219D">
        <w:trPr>
          <w:trHeight w:val="296"/>
          <w:jc w:val="center"/>
        </w:trPr>
        <w:tc>
          <w:tcPr>
            <w:tcW w:w="2564" w:type="dxa"/>
            <w:tcBorders>
              <w:top w:val="nil"/>
              <w:left w:val="nil"/>
              <w:right w:val="nil"/>
            </w:tcBorders>
            <w:shd w:val="clear" w:color="auto" w:fill="auto"/>
            <w:noWrap/>
            <w:vAlign w:val="bottom"/>
            <w:hideMark/>
          </w:tcPr>
          <w:p w14:paraId="0EBDE17F"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Informático</w:t>
            </w:r>
          </w:p>
        </w:tc>
        <w:tc>
          <w:tcPr>
            <w:tcW w:w="2235" w:type="dxa"/>
            <w:tcBorders>
              <w:top w:val="nil"/>
              <w:left w:val="nil"/>
              <w:right w:val="nil"/>
            </w:tcBorders>
            <w:shd w:val="clear" w:color="auto" w:fill="auto"/>
            <w:noWrap/>
            <w:vAlign w:val="bottom"/>
            <w:hideMark/>
          </w:tcPr>
          <w:p w14:paraId="25807CE3"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2</w:t>
            </w:r>
          </w:p>
        </w:tc>
        <w:tc>
          <w:tcPr>
            <w:tcW w:w="2597" w:type="dxa"/>
            <w:tcBorders>
              <w:top w:val="nil"/>
              <w:left w:val="nil"/>
              <w:right w:val="nil"/>
            </w:tcBorders>
            <w:shd w:val="clear" w:color="auto" w:fill="auto"/>
            <w:noWrap/>
            <w:vAlign w:val="bottom"/>
            <w:hideMark/>
          </w:tcPr>
          <w:p w14:paraId="4D43C956"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1,7</w:t>
            </w:r>
          </w:p>
        </w:tc>
      </w:tr>
      <w:tr w:rsidR="00EE7BA4" w:rsidRPr="00485619" w14:paraId="648E2862" w14:textId="77777777" w:rsidTr="00B47BCA">
        <w:trPr>
          <w:trHeight w:val="296"/>
          <w:jc w:val="center"/>
        </w:trPr>
        <w:tc>
          <w:tcPr>
            <w:tcW w:w="2564" w:type="dxa"/>
            <w:tcBorders>
              <w:left w:val="nil"/>
              <w:bottom w:val="single" w:sz="4" w:space="0" w:color="auto"/>
              <w:right w:val="nil"/>
            </w:tcBorders>
            <w:shd w:val="clear" w:color="auto" w:fill="auto"/>
            <w:noWrap/>
            <w:vAlign w:val="bottom"/>
            <w:hideMark/>
          </w:tcPr>
          <w:p w14:paraId="714F1A39"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Otra</w:t>
            </w:r>
          </w:p>
        </w:tc>
        <w:tc>
          <w:tcPr>
            <w:tcW w:w="2235" w:type="dxa"/>
            <w:tcBorders>
              <w:left w:val="nil"/>
              <w:bottom w:val="single" w:sz="4" w:space="0" w:color="auto"/>
              <w:right w:val="nil"/>
            </w:tcBorders>
            <w:shd w:val="clear" w:color="auto" w:fill="auto"/>
            <w:noWrap/>
            <w:vAlign w:val="bottom"/>
            <w:hideMark/>
          </w:tcPr>
          <w:p w14:paraId="02ADE5E9"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20</w:t>
            </w:r>
          </w:p>
        </w:tc>
        <w:tc>
          <w:tcPr>
            <w:tcW w:w="2597" w:type="dxa"/>
            <w:tcBorders>
              <w:left w:val="nil"/>
              <w:bottom w:val="single" w:sz="4" w:space="0" w:color="auto"/>
              <w:right w:val="nil"/>
            </w:tcBorders>
            <w:shd w:val="clear" w:color="auto" w:fill="auto"/>
            <w:noWrap/>
            <w:vAlign w:val="bottom"/>
            <w:hideMark/>
          </w:tcPr>
          <w:p w14:paraId="6459D004" w14:textId="77777777" w:rsidR="00EE7BA4" w:rsidRPr="00EE7BA4" w:rsidRDefault="00EE7BA4" w:rsidP="00B47BCA">
            <w:pPr>
              <w:spacing w:after="0" w:line="240" w:lineRule="auto"/>
              <w:jc w:val="center"/>
              <w:rPr>
                <w:rFonts w:ascii="Verdana" w:eastAsia="Times New Roman" w:hAnsi="Verdana" w:cs="Arial"/>
                <w:color w:val="000000"/>
                <w:lang w:eastAsia="es-CR"/>
              </w:rPr>
            </w:pPr>
            <w:r w:rsidRPr="00EE7BA4">
              <w:rPr>
                <w:rFonts w:ascii="Verdana" w:eastAsia="Times New Roman" w:hAnsi="Verdana" w:cs="Arial"/>
                <w:color w:val="000000"/>
                <w:lang w:eastAsia="es-CR"/>
              </w:rPr>
              <w:t>16,8</w:t>
            </w:r>
          </w:p>
        </w:tc>
      </w:tr>
      <w:tr w:rsidR="00A532AF" w:rsidRPr="00485619" w14:paraId="63610E05" w14:textId="77777777" w:rsidTr="00B47BCA">
        <w:trPr>
          <w:trHeight w:val="843"/>
          <w:jc w:val="center"/>
        </w:trPr>
        <w:tc>
          <w:tcPr>
            <w:tcW w:w="7396" w:type="dxa"/>
            <w:gridSpan w:val="3"/>
            <w:tcBorders>
              <w:top w:val="single" w:sz="4" w:space="0" w:color="auto"/>
              <w:left w:val="nil"/>
              <w:bottom w:val="single" w:sz="4" w:space="0" w:color="auto"/>
              <w:right w:val="nil"/>
            </w:tcBorders>
            <w:shd w:val="clear" w:color="auto" w:fill="auto"/>
            <w:vAlign w:val="bottom"/>
            <w:hideMark/>
          </w:tcPr>
          <w:p w14:paraId="72565CD8" w14:textId="37802C86" w:rsidR="00833254" w:rsidRPr="00EE7BA4" w:rsidRDefault="00A532AF" w:rsidP="00B47BCA">
            <w:pPr>
              <w:spacing w:after="0" w:line="240" w:lineRule="auto"/>
              <w:jc w:val="center"/>
              <w:rPr>
                <w:rFonts w:ascii="Verdana" w:eastAsia="Times New Roman" w:hAnsi="Verdana" w:cs="Arial"/>
                <w:color w:val="000000"/>
                <w:sz w:val="16"/>
                <w:szCs w:val="16"/>
                <w:lang w:eastAsia="es-CR"/>
              </w:rPr>
            </w:pPr>
            <w:r w:rsidRPr="00EE7BA4">
              <w:rPr>
                <w:rFonts w:ascii="Verdana" w:eastAsia="Times New Roman" w:hAnsi="Verdana" w:cs="Arial"/>
                <w:color w:val="000000"/>
                <w:sz w:val="16"/>
                <w:szCs w:val="16"/>
                <w:lang w:eastAsia="es-CR"/>
              </w:rPr>
              <w:t>Nota</w:t>
            </w:r>
            <w:r w:rsidR="00833254" w:rsidRPr="00EE7BA4">
              <w:rPr>
                <w:rFonts w:ascii="Verdana" w:eastAsia="Times New Roman" w:hAnsi="Verdana" w:cs="Arial"/>
                <w:color w:val="000000"/>
                <w:sz w:val="16"/>
                <w:szCs w:val="16"/>
                <w:lang w:eastAsia="es-CR"/>
              </w:rPr>
              <w:t xml:space="preserve"> 1</w:t>
            </w:r>
            <w:r w:rsidRPr="00EE7BA4">
              <w:rPr>
                <w:rFonts w:ascii="Verdana" w:eastAsia="Times New Roman" w:hAnsi="Verdana" w:cs="Arial"/>
                <w:color w:val="000000"/>
                <w:sz w:val="16"/>
                <w:szCs w:val="16"/>
                <w:lang w:eastAsia="es-CR"/>
              </w:rPr>
              <w:t>: Un encargado de archivo central puede tener más de una formación</w:t>
            </w:r>
          </w:p>
          <w:p w14:paraId="7634D1C9" w14:textId="2673185A" w:rsidR="00A532AF" w:rsidRPr="00EE7BA4" w:rsidRDefault="00A532AF" w:rsidP="00B47BCA">
            <w:pPr>
              <w:spacing w:after="0" w:line="240" w:lineRule="auto"/>
              <w:jc w:val="center"/>
              <w:rPr>
                <w:rFonts w:ascii="Verdana" w:eastAsia="Times New Roman" w:hAnsi="Verdana" w:cs="Times New Roman"/>
                <w:color w:val="000000"/>
                <w:lang w:eastAsia="es-CR"/>
              </w:rPr>
            </w:pPr>
            <w:r w:rsidRPr="00EE7BA4">
              <w:rPr>
                <w:rFonts w:ascii="Verdana" w:eastAsia="Times New Roman" w:hAnsi="Verdana" w:cs="Arial"/>
                <w:color w:val="000000"/>
                <w:sz w:val="16"/>
                <w:szCs w:val="16"/>
                <w:lang w:eastAsia="es-CR"/>
              </w:rPr>
              <w:t>Nota 2: En la categoría otros se encuentran formaciones académicas tales como: oficinistas, técnicos en administración, secretarias, comunicadores, técnicos en bibliotecología, y asistentes administrativos.</w:t>
            </w:r>
          </w:p>
        </w:tc>
      </w:tr>
    </w:tbl>
    <w:p w14:paraId="153107E1" w14:textId="77777777" w:rsidR="00621D3B" w:rsidRDefault="00621D3B" w:rsidP="00485619">
      <w:pPr>
        <w:spacing w:after="0" w:line="240" w:lineRule="auto"/>
        <w:jc w:val="both"/>
        <w:rPr>
          <w:rFonts w:ascii="Verdana" w:eastAsia="Times New Roman" w:hAnsi="Verdana" w:cs="Arial"/>
          <w:sz w:val="24"/>
          <w:szCs w:val="24"/>
          <w:lang w:val="es-ES" w:eastAsia="es-ES"/>
        </w:rPr>
      </w:pPr>
    </w:p>
    <w:p w14:paraId="39CA2AD3" w14:textId="77777777" w:rsidR="00B47BCA" w:rsidRPr="00485619" w:rsidRDefault="00B47BCA" w:rsidP="00485619">
      <w:pPr>
        <w:spacing w:after="0" w:line="240" w:lineRule="auto"/>
        <w:jc w:val="both"/>
        <w:rPr>
          <w:rFonts w:ascii="Verdana" w:eastAsia="Times New Roman" w:hAnsi="Verdana" w:cs="Arial"/>
          <w:sz w:val="24"/>
          <w:szCs w:val="24"/>
          <w:lang w:val="es-ES" w:eastAsia="es-ES"/>
        </w:rPr>
      </w:pPr>
    </w:p>
    <w:p w14:paraId="1507EF79" w14:textId="77777777" w:rsidR="006A6EA9" w:rsidRPr="00485619" w:rsidRDefault="006A6EA9" w:rsidP="00485619">
      <w:pPr>
        <w:pStyle w:val="Ttulo2"/>
        <w:numPr>
          <w:ilvl w:val="0"/>
          <w:numId w:val="27"/>
        </w:numPr>
        <w:jc w:val="both"/>
        <w:rPr>
          <w:rFonts w:ascii="Verdana" w:hAnsi="Verdana"/>
          <w:sz w:val="24"/>
          <w:szCs w:val="24"/>
        </w:rPr>
      </w:pPr>
      <w:bookmarkStart w:id="8" w:name="_Toc444697505"/>
      <w:r w:rsidRPr="00485619">
        <w:rPr>
          <w:rFonts w:ascii="Verdana" w:hAnsi="Verdana"/>
          <w:sz w:val="24"/>
          <w:szCs w:val="24"/>
        </w:rPr>
        <w:t>Organización del fondo documental</w:t>
      </w:r>
      <w:bookmarkEnd w:id="8"/>
    </w:p>
    <w:p w14:paraId="6C7AB94A" w14:textId="77777777" w:rsidR="00644DE5" w:rsidRDefault="00644DE5" w:rsidP="00485619">
      <w:pPr>
        <w:spacing w:after="0" w:line="240" w:lineRule="auto"/>
        <w:jc w:val="both"/>
        <w:rPr>
          <w:rFonts w:ascii="Verdana" w:eastAsia="Times New Roman" w:hAnsi="Verdana" w:cs="Times New Roman"/>
          <w:sz w:val="24"/>
          <w:szCs w:val="24"/>
          <w:lang w:val="es-ES" w:eastAsia="es-ES"/>
        </w:rPr>
      </w:pPr>
    </w:p>
    <w:p w14:paraId="1AF394A2" w14:textId="77777777" w:rsidR="00760686" w:rsidRPr="00485619" w:rsidRDefault="00760686" w:rsidP="00485619">
      <w:pPr>
        <w:spacing w:after="0" w:line="240" w:lineRule="auto"/>
        <w:jc w:val="both"/>
        <w:rPr>
          <w:rFonts w:ascii="Verdana" w:eastAsia="Times New Roman" w:hAnsi="Verdana" w:cs="Times New Roman"/>
          <w:sz w:val="24"/>
          <w:szCs w:val="24"/>
          <w:lang w:val="es-ES" w:eastAsia="es-ES"/>
        </w:rPr>
      </w:pPr>
    </w:p>
    <w:p w14:paraId="3B233EE6" w14:textId="77777777" w:rsidR="006A6EA9" w:rsidRPr="00485619" w:rsidRDefault="006A6EA9" w:rsidP="00485619">
      <w:pPr>
        <w:pStyle w:val="Ttulo3"/>
        <w:jc w:val="both"/>
        <w:rPr>
          <w:sz w:val="24"/>
        </w:rPr>
      </w:pPr>
      <w:bookmarkStart w:id="9" w:name="_Toc444697506"/>
      <w:r w:rsidRPr="00485619">
        <w:rPr>
          <w:sz w:val="24"/>
        </w:rPr>
        <w:t>2.1 Proyección de los Archivos Centrales a nivel institucional</w:t>
      </w:r>
      <w:bookmarkEnd w:id="9"/>
    </w:p>
    <w:p w14:paraId="5230D080" w14:textId="77777777" w:rsidR="006A6EA9" w:rsidRPr="00485619" w:rsidRDefault="006A6EA9" w:rsidP="00485619">
      <w:pPr>
        <w:spacing w:after="0" w:line="240" w:lineRule="auto"/>
        <w:jc w:val="both"/>
        <w:rPr>
          <w:rFonts w:ascii="Verdana" w:eastAsia="Times New Roman" w:hAnsi="Verdana" w:cs="Arial"/>
          <w:sz w:val="24"/>
          <w:szCs w:val="24"/>
          <w:lang w:val="es-ES" w:eastAsia="es-ES"/>
        </w:rPr>
      </w:pPr>
    </w:p>
    <w:p w14:paraId="35BB9B43"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El artículo 42, incisos d y e de la Ley del Sistema Nacional de Archivos N° 7202, establece que los Archivos Centrales tienen dentro de sus funciones: velar por la aplicación de políticas archivísticas; asesorar técnicamente al personal que labora en los archivos de gestión; así como, colaborar en la búsqueda de soluciones para el buen funcionamiento de los diferentes archivos de la entidad. </w:t>
      </w:r>
    </w:p>
    <w:p w14:paraId="79402E3B"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2E3A85EB" w14:textId="77777777" w:rsidR="00BC5A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Ante esta circunstancia, se reflejó que </w:t>
      </w:r>
      <w:r w:rsidR="006362B8" w:rsidRPr="00485619">
        <w:rPr>
          <w:rFonts w:ascii="Verdana" w:eastAsia="Times New Roman" w:hAnsi="Verdana" w:cs="Times New Roman"/>
          <w:sz w:val="24"/>
          <w:szCs w:val="24"/>
          <w:lang w:val="es-ES" w:eastAsia="es-ES"/>
        </w:rPr>
        <w:t>112</w:t>
      </w:r>
      <w:r w:rsidR="00A532AF" w:rsidRPr="00485619">
        <w:rPr>
          <w:rFonts w:ascii="Verdana" w:eastAsia="Times New Roman" w:hAnsi="Verdana" w:cs="Times New Roman"/>
          <w:sz w:val="24"/>
          <w:szCs w:val="24"/>
          <w:lang w:val="es-ES" w:eastAsia="es-ES"/>
        </w:rPr>
        <w:t xml:space="preserve"> (94%)</w:t>
      </w:r>
      <w:r w:rsidRPr="00485619">
        <w:rPr>
          <w:rFonts w:ascii="Verdana" w:eastAsia="Times New Roman" w:hAnsi="Verdana" w:cs="Times New Roman"/>
          <w:sz w:val="24"/>
          <w:szCs w:val="24"/>
          <w:lang w:val="es-ES" w:eastAsia="es-ES"/>
        </w:rPr>
        <w:t xml:space="preserve"> instituciones han emitido disposiciones administrativas como lineamientos, directrices o procedimientos que regulen el quehacer archivístico de la entidad, no obstante las siguientes </w:t>
      </w:r>
      <w:r w:rsidR="00BC5AA9" w:rsidRPr="00485619">
        <w:rPr>
          <w:rFonts w:ascii="Verdana" w:eastAsia="Times New Roman" w:hAnsi="Verdana" w:cs="Times New Roman"/>
          <w:sz w:val="24"/>
          <w:szCs w:val="24"/>
          <w:lang w:val="es-ES" w:eastAsia="es-ES"/>
        </w:rPr>
        <w:t xml:space="preserve"> 7 </w:t>
      </w:r>
      <w:r w:rsidRPr="00485619">
        <w:rPr>
          <w:rFonts w:ascii="Verdana" w:eastAsia="Times New Roman" w:hAnsi="Verdana" w:cs="Times New Roman"/>
          <w:sz w:val="24"/>
          <w:szCs w:val="24"/>
          <w:lang w:val="es-ES" w:eastAsia="es-ES"/>
        </w:rPr>
        <w:t>instituciones</w:t>
      </w:r>
      <w:r w:rsidR="00BC5AA9" w:rsidRPr="00485619">
        <w:rPr>
          <w:rFonts w:ascii="Verdana" w:eastAsia="Times New Roman" w:hAnsi="Verdana" w:cs="Times New Roman"/>
          <w:sz w:val="24"/>
          <w:szCs w:val="24"/>
          <w:lang w:val="es-ES" w:eastAsia="es-ES"/>
        </w:rPr>
        <w:t xml:space="preserve"> señalaron no contar con este tipo de normativa</w:t>
      </w:r>
    </w:p>
    <w:p w14:paraId="16306536" w14:textId="77777777" w:rsidR="00BC5AA9" w:rsidRPr="00485619" w:rsidRDefault="00BC5AA9" w:rsidP="00485619">
      <w:pPr>
        <w:spacing w:after="0" w:line="240" w:lineRule="auto"/>
        <w:jc w:val="both"/>
        <w:rPr>
          <w:rFonts w:ascii="Verdana" w:eastAsia="Times New Roman" w:hAnsi="Verdana" w:cs="Times New Roman"/>
          <w:sz w:val="24"/>
          <w:szCs w:val="24"/>
          <w:lang w:val="es-ES" w:eastAsia="es-ES"/>
        </w:rPr>
      </w:pPr>
    </w:p>
    <w:p w14:paraId="59A77E1D" w14:textId="77777777" w:rsidR="00BC5AA9" w:rsidRPr="00485619" w:rsidRDefault="00BC5AA9" w:rsidP="00485619">
      <w:pPr>
        <w:pStyle w:val="Prrafodelista"/>
        <w:numPr>
          <w:ilvl w:val="0"/>
          <w:numId w:val="35"/>
        </w:numPr>
        <w:jc w:val="both"/>
        <w:rPr>
          <w:rFonts w:ascii="Verdana" w:hAnsi="Verdana"/>
        </w:rPr>
      </w:pPr>
      <w:r w:rsidRPr="00485619">
        <w:rPr>
          <w:rFonts w:ascii="Verdana" w:hAnsi="Verdana"/>
        </w:rPr>
        <w:t>Tribunal Servicio Civil</w:t>
      </w:r>
    </w:p>
    <w:p w14:paraId="099E12E7" w14:textId="77777777" w:rsidR="00BC5AA9" w:rsidRPr="00485619" w:rsidRDefault="006362B8" w:rsidP="00485619">
      <w:pPr>
        <w:pStyle w:val="Prrafodelista"/>
        <w:numPr>
          <w:ilvl w:val="0"/>
          <w:numId w:val="35"/>
        </w:numPr>
        <w:jc w:val="both"/>
        <w:rPr>
          <w:rFonts w:ascii="Verdana" w:hAnsi="Verdana"/>
        </w:rPr>
      </w:pPr>
      <w:r w:rsidRPr="00485619">
        <w:rPr>
          <w:rFonts w:ascii="Verdana" w:hAnsi="Verdana"/>
        </w:rPr>
        <w:t>Municipalidad d</w:t>
      </w:r>
      <w:r w:rsidR="00BC5AA9" w:rsidRPr="00485619">
        <w:rPr>
          <w:rFonts w:ascii="Verdana" w:hAnsi="Verdana"/>
        </w:rPr>
        <w:t>e Puntarenas</w:t>
      </w:r>
    </w:p>
    <w:p w14:paraId="1047DEC5" w14:textId="77777777" w:rsidR="00BC5AA9" w:rsidRPr="00485619" w:rsidRDefault="006362B8" w:rsidP="00485619">
      <w:pPr>
        <w:pStyle w:val="Prrafodelista"/>
        <w:numPr>
          <w:ilvl w:val="0"/>
          <w:numId w:val="35"/>
        </w:numPr>
        <w:jc w:val="both"/>
        <w:rPr>
          <w:rFonts w:ascii="Verdana" w:hAnsi="Verdana"/>
        </w:rPr>
      </w:pPr>
      <w:r w:rsidRPr="00485619">
        <w:rPr>
          <w:rFonts w:ascii="Verdana" w:hAnsi="Verdana"/>
        </w:rPr>
        <w:t>Ministerio d</w:t>
      </w:r>
      <w:r w:rsidR="00BC5AA9" w:rsidRPr="00485619">
        <w:rPr>
          <w:rFonts w:ascii="Verdana" w:hAnsi="Verdana"/>
        </w:rPr>
        <w:t>e Seguridad Pública</w:t>
      </w:r>
    </w:p>
    <w:p w14:paraId="3039DD8B" w14:textId="77777777" w:rsidR="00BC5AA9" w:rsidRPr="00485619" w:rsidRDefault="006362B8" w:rsidP="00485619">
      <w:pPr>
        <w:pStyle w:val="Prrafodelista"/>
        <w:numPr>
          <w:ilvl w:val="0"/>
          <w:numId w:val="35"/>
        </w:numPr>
        <w:jc w:val="both"/>
        <w:rPr>
          <w:rFonts w:ascii="Verdana" w:hAnsi="Verdana"/>
        </w:rPr>
      </w:pPr>
      <w:r w:rsidRPr="00485619">
        <w:rPr>
          <w:rFonts w:ascii="Verdana" w:hAnsi="Verdana"/>
        </w:rPr>
        <w:t>Municipalidad d</w:t>
      </w:r>
      <w:r w:rsidR="00BC5AA9" w:rsidRPr="00485619">
        <w:rPr>
          <w:rFonts w:ascii="Verdana" w:hAnsi="Verdana"/>
        </w:rPr>
        <w:t>e Flores</w:t>
      </w:r>
    </w:p>
    <w:p w14:paraId="36F4FD41" w14:textId="77777777" w:rsidR="00BC5AA9" w:rsidRPr="00485619" w:rsidRDefault="006362B8" w:rsidP="00485619">
      <w:pPr>
        <w:pStyle w:val="Prrafodelista"/>
        <w:numPr>
          <w:ilvl w:val="0"/>
          <w:numId w:val="35"/>
        </w:numPr>
        <w:jc w:val="both"/>
        <w:rPr>
          <w:rFonts w:ascii="Verdana" w:hAnsi="Verdana"/>
        </w:rPr>
      </w:pPr>
      <w:r w:rsidRPr="00485619">
        <w:rPr>
          <w:rFonts w:ascii="Verdana" w:hAnsi="Verdana"/>
        </w:rPr>
        <w:t>Liga Agrícola Industrial de l</w:t>
      </w:r>
      <w:r w:rsidR="00BC5AA9" w:rsidRPr="00485619">
        <w:rPr>
          <w:rFonts w:ascii="Verdana" w:hAnsi="Verdana"/>
        </w:rPr>
        <w:t>a Caña Azúcar</w:t>
      </w:r>
    </w:p>
    <w:p w14:paraId="6FA485B2" w14:textId="77777777" w:rsidR="00BC5AA9" w:rsidRPr="00485619" w:rsidRDefault="00BC5AA9" w:rsidP="00485619">
      <w:pPr>
        <w:pStyle w:val="Prrafodelista"/>
        <w:numPr>
          <w:ilvl w:val="0"/>
          <w:numId w:val="35"/>
        </w:numPr>
        <w:jc w:val="both"/>
        <w:rPr>
          <w:rFonts w:ascii="Verdana" w:hAnsi="Verdana"/>
        </w:rPr>
      </w:pPr>
      <w:r w:rsidRPr="00485619">
        <w:rPr>
          <w:rFonts w:ascii="Verdana" w:hAnsi="Verdana"/>
        </w:rPr>
        <w:t xml:space="preserve">Centro Cultural </w:t>
      </w:r>
      <w:r w:rsidR="00833254" w:rsidRPr="00485619">
        <w:rPr>
          <w:rFonts w:ascii="Verdana" w:hAnsi="Verdana"/>
        </w:rPr>
        <w:t>José</w:t>
      </w:r>
      <w:r w:rsidRPr="00485619">
        <w:rPr>
          <w:rFonts w:ascii="Verdana" w:hAnsi="Verdana"/>
        </w:rPr>
        <w:t xml:space="preserve"> Figueres Ferrer</w:t>
      </w:r>
    </w:p>
    <w:p w14:paraId="15A9EAC3" w14:textId="77777777" w:rsidR="00BC5AA9" w:rsidRPr="00485619" w:rsidRDefault="00B243F7" w:rsidP="00485619">
      <w:pPr>
        <w:pStyle w:val="Prrafodelista"/>
        <w:numPr>
          <w:ilvl w:val="0"/>
          <w:numId w:val="35"/>
        </w:numPr>
        <w:jc w:val="both"/>
        <w:rPr>
          <w:rFonts w:ascii="Verdana" w:hAnsi="Verdana"/>
        </w:rPr>
      </w:pPr>
      <w:r w:rsidRPr="00485619">
        <w:rPr>
          <w:rFonts w:ascii="Verdana" w:hAnsi="Verdana"/>
        </w:rPr>
        <w:t xml:space="preserve">Consejo </w:t>
      </w:r>
      <w:r w:rsidR="00BC5AA9" w:rsidRPr="00485619">
        <w:rPr>
          <w:rFonts w:ascii="Verdana" w:hAnsi="Verdana"/>
        </w:rPr>
        <w:t>S</w:t>
      </w:r>
      <w:r w:rsidRPr="00485619">
        <w:rPr>
          <w:rFonts w:ascii="Verdana" w:hAnsi="Verdana"/>
        </w:rPr>
        <w:t>eguridad Vial</w:t>
      </w:r>
    </w:p>
    <w:p w14:paraId="32A0004D"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3F384C0F" w14:textId="77777777" w:rsidR="005C6C97"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Asimismo, de </w:t>
      </w:r>
      <w:r w:rsidR="006362B8" w:rsidRPr="00485619">
        <w:rPr>
          <w:rFonts w:ascii="Verdana" w:eastAsia="Times New Roman" w:hAnsi="Verdana" w:cs="Times New Roman"/>
          <w:sz w:val="24"/>
          <w:szCs w:val="24"/>
          <w:lang w:val="es-ES" w:eastAsia="es-ES"/>
        </w:rPr>
        <w:t>las 112</w:t>
      </w:r>
      <w:r w:rsidR="00A569A8" w:rsidRPr="00485619">
        <w:rPr>
          <w:rFonts w:ascii="Verdana" w:eastAsia="Times New Roman" w:hAnsi="Verdana" w:cs="Times New Roman"/>
          <w:sz w:val="24"/>
          <w:szCs w:val="24"/>
          <w:lang w:val="es-ES" w:eastAsia="es-ES"/>
        </w:rPr>
        <w:t xml:space="preserve"> instituciones que indicaron</w:t>
      </w:r>
      <w:r w:rsidRPr="00485619">
        <w:rPr>
          <w:rFonts w:ascii="Verdana" w:eastAsia="Times New Roman" w:hAnsi="Verdana" w:cs="Times New Roman"/>
          <w:sz w:val="24"/>
          <w:szCs w:val="24"/>
          <w:lang w:val="es-ES" w:eastAsia="es-ES"/>
        </w:rPr>
        <w:t xml:space="preserve"> contar con normativa archivística a nivel in</w:t>
      </w:r>
      <w:r w:rsidR="00A569A8" w:rsidRPr="00485619">
        <w:rPr>
          <w:rFonts w:ascii="Verdana" w:eastAsia="Times New Roman" w:hAnsi="Verdana" w:cs="Times New Roman"/>
          <w:sz w:val="24"/>
          <w:szCs w:val="24"/>
          <w:lang w:val="es-ES" w:eastAsia="es-ES"/>
        </w:rPr>
        <w:t xml:space="preserve">stitucional, solamente </w:t>
      </w:r>
      <w:r w:rsidR="00BC5AA9" w:rsidRPr="00485619">
        <w:rPr>
          <w:rFonts w:ascii="Verdana" w:eastAsia="Times New Roman" w:hAnsi="Verdana" w:cs="Times New Roman"/>
          <w:sz w:val="24"/>
          <w:szCs w:val="24"/>
          <w:lang w:val="es-ES" w:eastAsia="es-ES"/>
        </w:rPr>
        <w:t>73 (65,2%)</w:t>
      </w:r>
      <w:r w:rsidR="00A569A8" w:rsidRPr="00485619">
        <w:rPr>
          <w:rFonts w:ascii="Verdana" w:eastAsia="Times New Roman" w:hAnsi="Verdana" w:cs="Times New Roman"/>
          <w:sz w:val="24"/>
          <w:szCs w:val="24"/>
          <w:lang w:val="es-ES" w:eastAsia="es-ES"/>
        </w:rPr>
        <w:t xml:space="preserve"> afirmaron</w:t>
      </w:r>
      <w:r w:rsidRPr="00485619">
        <w:rPr>
          <w:rFonts w:ascii="Verdana" w:eastAsia="Times New Roman" w:hAnsi="Verdana" w:cs="Times New Roman"/>
          <w:sz w:val="24"/>
          <w:szCs w:val="24"/>
          <w:lang w:val="es-ES" w:eastAsia="es-ES"/>
        </w:rPr>
        <w:t xml:space="preserve"> tener control total </w:t>
      </w:r>
      <w:r w:rsidR="00BC5AA9" w:rsidRPr="00485619">
        <w:rPr>
          <w:rFonts w:ascii="Verdana" w:eastAsia="Times New Roman" w:hAnsi="Verdana" w:cs="Times New Roman"/>
          <w:sz w:val="24"/>
          <w:szCs w:val="24"/>
          <w:lang w:val="es-ES" w:eastAsia="es-ES"/>
        </w:rPr>
        <w:t>de su implementación, 35 (31,3%</w:t>
      </w:r>
      <w:r w:rsidR="005C6C97" w:rsidRPr="00485619">
        <w:rPr>
          <w:rFonts w:ascii="Verdana" w:eastAsia="Times New Roman" w:hAnsi="Verdana" w:cs="Times New Roman"/>
          <w:sz w:val="24"/>
          <w:szCs w:val="24"/>
          <w:lang w:val="es-ES" w:eastAsia="es-ES"/>
        </w:rPr>
        <w:t>),</w:t>
      </w:r>
      <w:r w:rsidR="00A569A8" w:rsidRPr="00485619">
        <w:rPr>
          <w:rFonts w:ascii="Verdana" w:eastAsia="Times New Roman" w:hAnsi="Verdana" w:cs="Times New Roman"/>
          <w:sz w:val="24"/>
          <w:szCs w:val="24"/>
          <w:lang w:val="es-ES" w:eastAsia="es-ES"/>
        </w:rPr>
        <w:t xml:space="preserve"> declararon</w:t>
      </w:r>
      <w:r w:rsidRPr="00485619">
        <w:rPr>
          <w:rFonts w:ascii="Verdana" w:eastAsia="Times New Roman" w:hAnsi="Verdana" w:cs="Times New Roman"/>
          <w:sz w:val="24"/>
          <w:szCs w:val="24"/>
          <w:lang w:val="es-ES" w:eastAsia="es-ES"/>
        </w:rPr>
        <w:t xml:space="preserve"> posee</w:t>
      </w:r>
      <w:r w:rsidR="005C6C97" w:rsidRPr="00485619">
        <w:rPr>
          <w:rFonts w:ascii="Verdana" w:eastAsia="Times New Roman" w:hAnsi="Verdana" w:cs="Times New Roman"/>
          <w:sz w:val="24"/>
          <w:szCs w:val="24"/>
          <w:lang w:val="es-ES" w:eastAsia="es-ES"/>
        </w:rPr>
        <w:t>r un control parcial, y únicamente el Instituto Nacional De Vivienda Y Urbanismo mencionó</w:t>
      </w:r>
      <w:r w:rsidR="00A569A8" w:rsidRPr="00485619">
        <w:rPr>
          <w:rFonts w:ascii="Verdana" w:eastAsia="Times New Roman" w:hAnsi="Verdana" w:cs="Times New Roman"/>
          <w:sz w:val="24"/>
          <w:szCs w:val="24"/>
          <w:lang w:val="es-ES" w:eastAsia="es-ES"/>
        </w:rPr>
        <w:t xml:space="preserve"> </w:t>
      </w:r>
      <w:r w:rsidR="005C6C97" w:rsidRPr="00485619">
        <w:rPr>
          <w:rFonts w:ascii="Verdana" w:eastAsia="Times New Roman" w:hAnsi="Verdana" w:cs="Times New Roman"/>
          <w:sz w:val="24"/>
          <w:szCs w:val="24"/>
          <w:lang w:val="es-ES" w:eastAsia="es-ES"/>
        </w:rPr>
        <w:t>no tener ningún control. Cabe destacar que 3 instituciones no contestaron: Municipalidad De Vázquez De Coronado, S</w:t>
      </w:r>
      <w:r w:rsidR="006362B8" w:rsidRPr="00485619">
        <w:rPr>
          <w:rFonts w:ascii="Verdana" w:eastAsia="Times New Roman" w:hAnsi="Verdana" w:cs="Times New Roman"/>
          <w:sz w:val="24"/>
          <w:szCs w:val="24"/>
          <w:lang w:val="es-ES" w:eastAsia="es-ES"/>
        </w:rPr>
        <w:t>uperintend</w:t>
      </w:r>
      <w:r w:rsidR="002C6BC9" w:rsidRPr="00485619">
        <w:rPr>
          <w:rFonts w:ascii="Verdana" w:eastAsia="Times New Roman" w:hAnsi="Verdana" w:cs="Times New Roman"/>
          <w:sz w:val="24"/>
          <w:szCs w:val="24"/>
          <w:lang w:val="es-ES" w:eastAsia="es-ES"/>
        </w:rPr>
        <w:t>encia General de Valores (S</w:t>
      </w:r>
      <w:r w:rsidR="005C6C97" w:rsidRPr="00485619">
        <w:rPr>
          <w:rFonts w:ascii="Verdana" w:eastAsia="Times New Roman" w:hAnsi="Verdana" w:cs="Times New Roman"/>
          <w:sz w:val="24"/>
          <w:szCs w:val="24"/>
          <w:lang w:val="es-ES" w:eastAsia="es-ES"/>
        </w:rPr>
        <w:t>UGEVAL</w:t>
      </w:r>
      <w:r w:rsidR="002C6BC9" w:rsidRPr="00485619">
        <w:rPr>
          <w:rFonts w:ascii="Verdana" w:eastAsia="Times New Roman" w:hAnsi="Verdana" w:cs="Times New Roman"/>
          <w:sz w:val="24"/>
          <w:szCs w:val="24"/>
          <w:lang w:val="es-ES" w:eastAsia="es-ES"/>
        </w:rPr>
        <w:t>)</w:t>
      </w:r>
      <w:r w:rsidR="005C6C97" w:rsidRPr="00485619">
        <w:rPr>
          <w:rFonts w:ascii="Verdana" w:eastAsia="Times New Roman" w:hAnsi="Verdana" w:cs="Times New Roman"/>
          <w:sz w:val="24"/>
          <w:szCs w:val="24"/>
          <w:lang w:val="es-ES" w:eastAsia="es-ES"/>
        </w:rPr>
        <w:t xml:space="preserve"> y Archivo Nacional.</w:t>
      </w:r>
    </w:p>
    <w:p w14:paraId="6DCABD3A"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15CA5BD9" w14:textId="0F61E44E"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El tota</w:t>
      </w:r>
      <w:r w:rsidR="00D350A6" w:rsidRPr="00485619">
        <w:rPr>
          <w:rFonts w:ascii="Verdana" w:eastAsia="Times New Roman" w:hAnsi="Verdana" w:cs="Times New Roman"/>
          <w:sz w:val="24"/>
          <w:szCs w:val="24"/>
          <w:lang w:val="es-ES" w:eastAsia="es-ES"/>
        </w:rPr>
        <w:t>l de instituciones que manifestaron</w:t>
      </w:r>
      <w:r w:rsidRPr="00485619">
        <w:rPr>
          <w:rFonts w:ascii="Verdana" w:eastAsia="Times New Roman" w:hAnsi="Verdana" w:cs="Times New Roman"/>
          <w:sz w:val="24"/>
          <w:szCs w:val="24"/>
          <w:lang w:val="es-ES" w:eastAsia="es-ES"/>
        </w:rPr>
        <w:t xml:space="preserve"> contar con normativa actualizada para la regulación del quehacer archiví</w:t>
      </w:r>
      <w:r w:rsidR="005C6C97" w:rsidRPr="00485619">
        <w:rPr>
          <w:rFonts w:ascii="Verdana" w:eastAsia="Times New Roman" w:hAnsi="Verdana" w:cs="Times New Roman"/>
          <w:sz w:val="24"/>
          <w:szCs w:val="24"/>
          <w:lang w:val="es-ES" w:eastAsia="es-ES"/>
        </w:rPr>
        <w:t>stico institu</w:t>
      </w:r>
      <w:r w:rsidR="008F772D">
        <w:rPr>
          <w:rFonts w:ascii="Verdana" w:eastAsia="Times New Roman" w:hAnsi="Verdana" w:cs="Times New Roman"/>
          <w:sz w:val="24"/>
          <w:szCs w:val="24"/>
          <w:lang w:val="es-ES" w:eastAsia="es-ES"/>
        </w:rPr>
        <w:t xml:space="preserve">cional fue el 84,9%, es decir, </w:t>
      </w:r>
      <w:r w:rsidR="005C6C97" w:rsidRPr="00485619">
        <w:rPr>
          <w:rFonts w:ascii="Verdana" w:eastAsia="Times New Roman" w:hAnsi="Verdana" w:cs="Times New Roman"/>
          <w:sz w:val="24"/>
          <w:szCs w:val="24"/>
          <w:lang w:val="es-ES" w:eastAsia="es-ES"/>
        </w:rPr>
        <w:t xml:space="preserve">101 entidades; </w:t>
      </w:r>
      <w:r w:rsidRPr="00485619">
        <w:rPr>
          <w:rFonts w:ascii="Verdana" w:eastAsia="Times New Roman" w:hAnsi="Verdana" w:cs="Times New Roman"/>
          <w:sz w:val="24"/>
          <w:szCs w:val="24"/>
          <w:lang w:val="es-ES" w:eastAsia="es-ES"/>
        </w:rPr>
        <w:t xml:space="preserve">el </w:t>
      </w:r>
      <w:r w:rsidR="005C6C97" w:rsidRPr="00485619">
        <w:rPr>
          <w:rFonts w:ascii="Verdana" w:eastAsia="Times New Roman" w:hAnsi="Verdana" w:cs="Times New Roman"/>
          <w:sz w:val="24"/>
          <w:szCs w:val="24"/>
          <w:lang w:val="es-ES" w:eastAsia="es-ES"/>
        </w:rPr>
        <w:t>8,4</w:t>
      </w:r>
      <w:r w:rsidRPr="00485619">
        <w:rPr>
          <w:rFonts w:ascii="Verdana" w:eastAsia="Times New Roman" w:hAnsi="Verdana" w:cs="Times New Roman"/>
          <w:sz w:val="24"/>
          <w:szCs w:val="24"/>
          <w:lang w:val="es-ES" w:eastAsia="es-ES"/>
        </w:rPr>
        <w:t>% expresó no poseer disposiciones administrativas acordes a la actualidad y</w:t>
      </w:r>
      <w:r w:rsidR="005C6C97" w:rsidRPr="00485619">
        <w:rPr>
          <w:rFonts w:ascii="Verdana" w:eastAsia="Times New Roman" w:hAnsi="Verdana" w:cs="Times New Roman"/>
          <w:sz w:val="24"/>
          <w:szCs w:val="24"/>
          <w:lang w:val="es-ES" w:eastAsia="es-ES"/>
        </w:rPr>
        <w:t xml:space="preserve"> 1 institución </w:t>
      </w:r>
      <w:r w:rsidRPr="00485619">
        <w:rPr>
          <w:rFonts w:ascii="Verdana" w:eastAsia="Times New Roman" w:hAnsi="Verdana" w:cs="Times New Roman"/>
          <w:sz w:val="24"/>
          <w:szCs w:val="24"/>
          <w:lang w:val="es-ES" w:eastAsia="es-ES"/>
        </w:rPr>
        <w:t>no respondió, que corresponde</w:t>
      </w:r>
      <w:r w:rsidR="005C6C97" w:rsidRPr="00485619">
        <w:rPr>
          <w:rFonts w:ascii="Verdana" w:eastAsia="Times New Roman" w:hAnsi="Verdana" w:cs="Times New Roman"/>
          <w:sz w:val="24"/>
          <w:szCs w:val="24"/>
          <w:lang w:val="es-ES" w:eastAsia="es-ES"/>
        </w:rPr>
        <w:t xml:space="preserve"> a RECOPE </w:t>
      </w:r>
    </w:p>
    <w:p w14:paraId="0F325E64"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1A5BCB8B" w14:textId="77777777" w:rsidR="005C6C97" w:rsidRPr="00485619" w:rsidRDefault="005C6C97"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Un total de 117 (98,3</w:t>
      </w:r>
      <w:r w:rsidR="00F279F3" w:rsidRPr="00485619">
        <w:rPr>
          <w:rFonts w:ascii="Verdana" w:eastAsia="Times New Roman" w:hAnsi="Verdana" w:cs="Times New Roman"/>
          <w:sz w:val="24"/>
          <w:szCs w:val="24"/>
          <w:lang w:val="es-ES" w:eastAsia="es-ES"/>
        </w:rPr>
        <w:t>%</w:t>
      </w:r>
      <w:r w:rsidRPr="00485619">
        <w:rPr>
          <w:rFonts w:ascii="Verdana" w:eastAsia="Times New Roman" w:hAnsi="Verdana" w:cs="Times New Roman"/>
          <w:sz w:val="24"/>
          <w:szCs w:val="24"/>
          <w:lang w:val="es-ES" w:eastAsia="es-ES"/>
        </w:rPr>
        <w:t>)</w:t>
      </w:r>
      <w:r w:rsidR="00D350A6" w:rsidRPr="00485619">
        <w:rPr>
          <w:rFonts w:ascii="Verdana" w:eastAsia="Times New Roman" w:hAnsi="Verdana" w:cs="Times New Roman"/>
          <w:sz w:val="24"/>
          <w:szCs w:val="24"/>
          <w:lang w:val="es-ES" w:eastAsia="es-ES"/>
        </w:rPr>
        <w:t xml:space="preserve"> instituciones determinaron</w:t>
      </w:r>
      <w:r w:rsidR="006A6EA9" w:rsidRPr="00485619">
        <w:rPr>
          <w:rFonts w:ascii="Verdana" w:eastAsia="Times New Roman" w:hAnsi="Verdana" w:cs="Times New Roman"/>
          <w:sz w:val="24"/>
          <w:szCs w:val="24"/>
          <w:lang w:val="es-ES" w:eastAsia="es-ES"/>
        </w:rPr>
        <w:t xml:space="preserve"> conocer la directriz para la producción de documentos en soporte papel de conservación permanente, emitida por la Junta Administrativa del Archi</w:t>
      </w:r>
      <w:r w:rsidR="00D350A6" w:rsidRPr="00485619">
        <w:rPr>
          <w:rFonts w:ascii="Verdana" w:eastAsia="Times New Roman" w:hAnsi="Verdana" w:cs="Times New Roman"/>
          <w:sz w:val="24"/>
          <w:szCs w:val="24"/>
          <w:lang w:val="es-ES" w:eastAsia="es-ES"/>
        </w:rPr>
        <w:t>vo Nacional</w:t>
      </w:r>
      <w:r w:rsidRPr="00485619">
        <w:rPr>
          <w:rFonts w:ascii="Verdana" w:eastAsia="Times New Roman" w:hAnsi="Verdana" w:cs="Times New Roman"/>
          <w:sz w:val="24"/>
          <w:szCs w:val="24"/>
          <w:lang w:val="es-ES" w:eastAsia="es-ES"/>
        </w:rPr>
        <w:t>,</w:t>
      </w:r>
      <w:r w:rsidR="00D350A6" w:rsidRPr="00485619">
        <w:rPr>
          <w:rFonts w:ascii="Verdana" w:eastAsia="Times New Roman" w:hAnsi="Verdana" w:cs="Times New Roman"/>
          <w:sz w:val="24"/>
          <w:szCs w:val="24"/>
          <w:lang w:val="es-ES" w:eastAsia="es-ES"/>
        </w:rPr>
        <w:t xml:space="preserve"> y </w:t>
      </w:r>
      <w:r w:rsidRPr="00485619">
        <w:rPr>
          <w:rFonts w:ascii="Verdana" w:eastAsia="Times New Roman" w:hAnsi="Verdana" w:cs="Times New Roman"/>
          <w:sz w:val="24"/>
          <w:szCs w:val="24"/>
          <w:lang w:val="es-ES" w:eastAsia="es-ES"/>
        </w:rPr>
        <w:t>únicamente 2</w:t>
      </w:r>
      <w:r w:rsidR="00D350A6" w:rsidRPr="00485619">
        <w:rPr>
          <w:rFonts w:ascii="Verdana" w:eastAsia="Times New Roman" w:hAnsi="Verdana" w:cs="Times New Roman"/>
          <w:sz w:val="24"/>
          <w:szCs w:val="24"/>
          <w:lang w:val="es-ES" w:eastAsia="es-ES"/>
        </w:rPr>
        <w:t xml:space="preserve"> de ellas aludieron </w:t>
      </w:r>
      <w:r w:rsidR="006A6EA9" w:rsidRPr="00485619">
        <w:rPr>
          <w:rFonts w:ascii="Verdana" w:eastAsia="Times New Roman" w:hAnsi="Verdana" w:cs="Times New Roman"/>
          <w:sz w:val="24"/>
          <w:szCs w:val="24"/>
          <w:lang w:val="es-ES" w:eastAsia="es-ES"/>
        </w:rPr>
        <w:t>desconocer la directriz</w:t>
      </w:r>
      <w:r w:rsidRPr="00485619">
        <w:rPr>
          <w:rFonts w:ascii="Verdana" w:eastAsia="Times New Roman" w:hAnsi="Verdana" w:cs="Times New Roman"/>
          <w:sz w:val="24"/>
          <w:szCs w:val="24"/>
          <w:lang w:val="es-ES" w:eastAsia="es-ES"/>
        </w:rPr>
        <w:t xml:space="preserve"> y son: Tribunal Servicio Civil</w:t>
      </w:r>
      <w:r w:rsidR="00F279F3" w:rsidRPr="00485619">
        <w:rPr>
          <w:rFonts w:ascii="Verdana" w:eastAsia="Times New Roman" w:hAnsi="Verdana" w:cs="Times New Roman"/>
          <w:sz w:val="24"/>
          <w:szCs w:val="24"/>
          <w:lang w:val="es-ES" w:eastAsia="es-ES"/>
        </w:rPr>
        <w:t xml:space="preserve"> y Municipalidad De Flores</w:t>
      </w:r>
    </w:p>
    <w:p w14:paraId="4E9C433A"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5BCBD698"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No obstante, en cuanto al control de la aplicación de esta dire</w:t>
      </w:r>
      <w:r w:rsidR="00F279F3" w:rsidRPr="00485619">
        <w:rPr>
          <w:rFonts w:ascii="Verdana" w:eastAsia="Times New Roman" w:hAnsi="Verdana" w:cs="Times New Roman"/>
          <w:sz w:val="24"/>
          <w:szCs w:val="24"/>
          <w:lang w:val="es-ES" w:eastAsia="es-ES"/>
        </w:rPr>
        <w:t>ctriz en la institución, sólo 39 (33,3%)</w:t>
      </w:r>
      <w:r w:rsidRPr="00485619">
        <w:rPr>
          <w:rFonts w:ascii="Verdana" w:eastAsia="Times New Roman" w:hAnsi="Verdana" w:cs="Times New Roman"/>
          <w:sz w:val="24"/>
          <w:szCs w:val="24"/>
          <w:lang w:val="es-ES" w:eastAsia="es-ES"/>
        </w:rPr>
        <w:t xml:space="preserve"> encargados</w:t>
      </w:r>
      <w:r w:rsidR="00D350A6" w:rsidRPr="00485619">
        <w:rPr>
          <w:rFonts w:ascii="Verdana" w:eastAsia="Times New Roman" w:hAnsi="Verdana" w:cs="Times New Roman"/>
          <w:sz w:val="24"/>
          <w:szCs w:val="24"/>
          <w:lang w:val="es-ES" w:eastAsia="es-ES"/>
        </w:rPr>
        <w:t xml:space="preserve"> de Archivos Central</w:t>
      </w:r>
      <w:r w:rsidR="00F279F3" w:rsidRPr="00485619">
        <w:rPr>
          <w:rFonts w:ascii="Verdana" w:eastAsia="Times New Roman" w:hAnsi="Verdana" w:cs="Times New Roman"/>
          <w:sz w:val="24"/>
          <w:szCs w:val="24"/>
          <w:lang w:val="es-ES" w:eastAsia="es-ES"/>
        </w:rPr>
        <w:t xml:space="preserve">es argumentaron controlarla, 58 (49,6%) </w:t>
      </w:r>
      <w:r w:rsidR="00D350A6" w:rsidRPr="00485619">
        <w:rPr>
          <w:rFonts w:ascii="Verdana" w:eastAsia="Times New Roman" w:hAnsi="Verdana" w:cs="Times New Roman"/>
          <w:sz w:val="24"/>
          <w:szCs w:val="24"/>
          <w:lang w:val="es-ES" w:eastAsia="es-ES"/>
        </w:rPr>
        <w:t>afirmaron</w:t>
      </w:r>
      <w:r w:rsidRPr="00485619">
        <w:rPr>
          <w:rFonts w:ascii="Verdana" w:eastAsia="Times New Roman" w:hAnsi="Verdana" w:cs="Times New Roman"/>
          <w:sz w:val="24"/>
          <w:szCs w:val="24"/>
          <w:lang w:val="es-ES" w:eastAsia="es-ES"/>
        </w:rPr>
        <w:t xml:space="preserve"> hacerlo de maner</w:t>
      </w:r>
      <w:r w:rsidR="00D350A6" w:rsidRPr="00485619">
        <w:rPr>
          <w:rFonts w:ascii="Verdana" w:eastAsia="Times New Roman" w:hAnsi="Verdana" w:cs="Times New Roman"/>
          <w:sz w:val="24"/>
          <w:szCs w:val="24"/>
          <w:lang w:val="es-ES" w:eastAsia="es-ES"/>
        </w:rPr>
        <w:t>a parcial</w:t>
      </w:r>
      <w:r w:rsidR="00F279F3" w:rsidRPr="00485619">
        <w:rPr>
          <w:rFonts w:ascii="Verdana" w:eastAsia="Times New Roman" w:hAnsi="Verdana" w:cs="Times New Roman"/>
          <w:sz w:val="24"/>
          <w:szCs w:val="24"/>
          <w:lang w:val="es-ES" w:eastAsia="es-ES"/>
        </w:rPr>
        <w:t xml:space="preserve"> y 20</w:t>
      </w:r>
      <w:r w:rsidR="00D350A6" w:rsidRPr="00485619">
        <w:rPr>
          <w:rFonts w:ascii="Verdana" w:eastAsia="Times New Roman" w:hAnsi="Verdana" w:cs="Times New Roman"/>
          <w:sz w:val="24"/>
          <w:szCs w:val="24"/>
          <w:lang w:val="es-ES" w:eastAsia="es-ES"/>
        </w:rPr>
        <w:t xml:space="preserve"> </w:t>
      </w:r>
      <w:r w:rsidR="00F279F3" w:rsidRPr="00485619">
        <w:rPr>
          <w:rFonts w:ascii="Verdana" w:eastAsia="Times New Roman" w:hAnsi="Verdana" w:cs="Times New Roman"/>
          <w:sz w:val="24"/>
          <w:szCs w:val="24"/>
          <w:lang w:val="es-ES" w:eastAsia="es-ES"/>
        </w:rPr>
        <w:t xml:space="preserve">(17,1%) </w:t>
      </w:r>
      <w:r w:rsidR="00D350A6" w:rsidRPr="00485619">
        <w:rPr>
          <w:rFonts w:ascii="Verdana" w:eastAsia="Times New Roman" w:hAnsi="Verdana" w:cs="Times New Roman"/>
          <w:sz w:val="24"/>
          <w:szCs w:val="24"/>
          <w:lang w:val="es-ES" w:eastAsia="es-ES"/>
        </w:rPr>
        <w:t>no tienen control</w:t>
      </w:r>
      <w:r w:rsidR="00F279F3" w:rsidRPr="00485619">
        <w:rPr>
          <w:rFonts w:ascii="Verdana" w:eastAsia="Times New Roman" w:hAnsi="Verdana" w:cs="Times New Roman"/>
          <w:sz w:val="24"/>
          <w:szCs w:val="24"/>
          <w:lang w:val="es-ES" w:eastAsia="es-ES"/>
        </w:rPr>
        <w:t>.</w:t>
      </w:r>
    </w:p>
    <w:p w14:paraId="35F46CD8"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16AE5E89" w14:textId="3CC7684C" w:rsidR="00833254"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Según los resultados, se evidencia que los encargados de Archivos Centrales priorizan el control sobre la aplicación de normativa archivística interna y no vigilan de igual manera la normativa de cumplimiento obligatorio que ha emitido el Ente Rector del Sistema Nacional de Archivos. </w:t>
      </w:r>
      <w:r w:rsidR="00A94DB9" w:rsidRPr="00485619">
        <w:rPr>
          <w:rFonts w:ascii="Verdana" w:eastAsia="Times New Roman" w:hAnsi="Verdana" w:cs="Times New Roman"/>
          <w:sz w:val="24"/>
          <w:szCs w:val="24"/>
          <w:lang w:val="es-ES" w:eastAsia="es-ES"/>
        </w:rPr>
        <w:t>E</w:t>
      </w:r>
      <w:r w:rsidR="00644DE5" w:rsidRPr="00485619">
        <w:rPr>
          <w:rFonts w:ascii="Verdana" w:eastAsia="Times New Roman" w:hAnsi="Verdana" w:cs="Times New Roman"/>
          <w:sz w:val="24"/>
          <w:szCs w:val="24"/>
          <w:lang w:val="es-ES" w:eastAsia="es-ES"/>
        </w:rPr>
        <w:t xml:space="preserve">l </w:t>
      </w:r>
      <w:r w:rsidR="00A94DB9" w:rsidRPr="00485619">
        <w:rPr>
          <w:rFonts w:ascii="Verdana" w:eastAsia="Times New Roman" w:hAnsi="Verdana" w:cs="Times New Roman"/>
          <w:sz w:val="24"/>
          <w:szCs w:val="24"/>
          <w:lang w:val="es-ES" w:eastAsia="es-ES"/>
        </w:rPr>
        <w:t>siguiente</w:t>
      </w:r>
      <w:r w:rsidR="00644DE5"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 xml:space="preserve">gráfico representa los grados de control ejercido por los Encargados de Archivos Centrales en ambos tipos de normativa: </w:t>
      </w:r>
    </w:p>
    <w:p w14:paraId="5FBE0BA5" w14:textId="77777777" w:rsidR="00ED16F5" w:rsidRPr="00485619" w:rsidRDefault="00ED16F5" w:rsidP="00485619">
      <w:pPr>
        <w:spacing w:after="0" w:line="240" w:lineRule="auto"/>
        <w:jc w:val="both"/>
        <w:rPr>
          <w:rFonts w:ascii="Verdana" w:eastAsia="Times New Roman" w:hAnsi="Verdana" w:cs="Times New Roman"/>
          <w:b/>
          <w:bCs/>
          <w:sz w:val="24"/>
          <w:szCs w:val="24"/>
          <w:highlight w:val="yellow"/>
          <w:lang w:val="es-ES" w:eastAsia="es-ES"/>
        </w:rPr>
      </w:pPr>
    </w:p>
    <w:p w14:paraId="7E4A2517" w14:textId="77777777" w:rsidR="00ED16F5" w:rsidRDefault="00F279F3" w:rsidP="00ED16F5">
      <w:pPr>
        <w:spacing w:after="0" w:line="240" w:lineRule="auto"/>
        <w:jc w:val="center"/>
        <w:rPr>
          <w:rFonts w:ascii="Verdana" w:eastAsia="Times New Roman" w:hAnsi="Verdana" w:cs="Times New Roman"/>
          <w:sz w:val="24"/>
          <w:szCs w:val="24"/>
          <w:lang w:val="es-ES" w:eastAsia="es-ES"/>
        </w:rPr>
      </w:pPr>
      <w:r w:rsidRPr="00485619">
        <w:rPr>
          <w:rFonts w:ascii="Verdana" w:hAnsi="Verdana"/>
          <w:noProof/>
          <w:sz w:val="24"/>
          <w:szCs w:val="24"/>
          <w:lang w:val="es-ES" w:eastAsia="es-ES"/>
        </w:rPr>
        <w:drawing>
          <wp:inline distT="0" distB="0" distL="0" distR="0" wp14:anchorId="3DDB1F5B" wp14:editId="3609B041">
            <wp:extent cx="4857750" cy="21907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5F7A92" w14:textId="7D7DD76A" w:rsidR="006A6EA9" w:rsidRPr="00485619" w:rsidRDefault="006A6EA9" w:rsidP="00ED16F5">
      <w:pPr>
        <w:spacing w:after="0" w:line="240" w:lineRule="auto"/>
        <w:jc w:val="center"/>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En relación con la producción de documentos en </w:t>
      </w:r>
      <w:r w:rsidR="00EC29CF" w:rsidRPr="00485619">
        <w:rPr>
          <w:rFonts w:ascii="Verdana" w:eastAsia="Times New Roman" w:hAnsi="Verdana" w:cs="Times New Roman"/>
          <w:sz w:val="24"/>
          <w:szCs w:val="24"/>
          <w:lang w:val="es-ES" w:eastAsia="es-ES"/>
        </w:rPr>
        <w:t>soporte electrónico y/o digitalizado</w:t>
      </w:r>
      <w:r w:rsidRPr="00485619">
        <w:rPr>
          <w:rFonts w:ascii="Verdana" w:eastAsia="Times New Roman" w:hAnsi="Verdana" w:cs="Times New Roman"/>
          <w:sz w:val="24"/>
          <w:szCs w:val="24"/>
          <w:lang w:val="es-ES" w:eastAsia="es-ES"/>
        </w:rPr>
        <w:t xml:space="preserve">, </w:t>
      </w:r>
      <w:r w:rsidR="00EC29CF" w:rsidRPr="00485619">
        <w:rPr>
          <w:rFonts w:ascii="Verdana" w:eastAsia="Times New Roman" w:hAnsi="Verdana" w:cs="Times New Roman"/>
          <w:sz w:val="24"/>
          <w:szCs w:val="24"/>
          <w:lang w:val="es-ES" w:eastAsia="es-ES"/>
        </w:rPr>
        <w:t>114 de las 119</w:t>
      </w:r>
      <w:r w:rsidRPr="00485619">
        <w:rPr>
          <w:rFonts w:ascii="Verdana" w:eastAsia="Times New Roman" w:hAnsi="Verdana" w:cs="Times New Roman"/>
          <w:sz w:val="24"/>
          <w:szCs w:val="24"/>
          <w:lang w:val="es-ES" w:eastAsia="es-ES"/>
        </w:rPr>
        <w:t xml:space="preserve"> </w:t>
      </w:r>
      <w:r w:rsidR="00D350A6" w:rsidRPr="00485619">
        <w:rPr>
          <w:rFonts w:ascii="Verdana" w:eastAsia="Times New Roman" w:hAnsi="Verdana" w:cs="Times New Roman"/>
          <w:sz w:val="24"/>
          <w:szCs w:val="24"/>
          <w:lang w:val="es-ES" w:eastAsia="es-ES"/>
        </w:rPr>
        <w:t>instituciones analizadas</w:t>
      </w:r>
      <w:r w:rsidR="00EC29CF" w:rsidRPr="00485619">
        <w:rPr>
          <w:rFonts w:ascii="Verdana" w:eastAsia="Times New Roman" w:hAnsi="Verdana" w:cs="Times New Roman"/>
          <w:sz w:val="24"/>
          <w:szCs w:val="24"/>
          <w:lang w:val="es-ES" w:eastAsia="es-ES"/>
        </w:rPr>
        <w:t xml:space="preserve"> (95,8%)</w:t>
      </w:r>
      <w:r w:rsidR="00D350A6" w:rsidRPr="00485619">
        <w:rPr>
          <w:rFonts w:ascii="Verdana" w:eastAsia="Times New Roman" w:hAnsi="Verdana" w:cs="Times New Roman"/>
          <w:sz w:val="24"/>
          <w:szCs w:val="24"/>
          <w:lang w:val="es-ES" w:eastAsia="es-ES"/>
        </w:rPr>
        <w:t>, indicaron</w:t>
      </w:r>
      <w:r w:rsidRPr="00485619">
        <w:rPr>
          <w:rFonts w:ascii="Verdana" w:eastAsia="Times New Roman" w:hAnsi="Verdana" w:cs="Times New Roman"/>
          <w:sz w:val="24"/>
          <w:szCs w:val="24"/>
          <w:lang w:val="es-ES" w:eastAsia="es-ES"/>
        </w:rPr>
        <w:t xml:space="preserve"> q</w:t>
      </w:r>
      <w:r w:rsidR="00C717B8" w:rsidRPr="00485619">
        <w:rPr>
          <w:rFonts w:ascii="Verdana" w:eastAsia="Times New Roman" w:hAnsi="Verdana" w:cs="Times New Roman"/>
          <w:sz w:val="24"/>
          <w:szCs w:val="24"/>
          <w:lang w:val="es-ES" w:eastAsia="es-ES"/>
        </w:rPr>
        <w:t>ue generan dichos documentos y 5</w:t>
      </w:r>
      <w:r w:rsidRPr="00485619">
        <w:rPr>
          <w:rFonts w:ascii="Verdana" w:eastAsia="Times New Roman" w:hAnsi="Verdana" w:cs="Times New Roman"/>
          <w:sz w:val="24"/>
          <w:szCs w:val="24"/>
          <w:lang w:val="es-ES" w:eastAsia="es-ES"/>
        </w:rPr>
        <w:t xml:space="preserve"> contestaron que no, las cuales son: </w:t>
      </w:r>
    </w:p>
    <w:p w14:paraId="4EEDED55"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18B6BBDC" w14:textId="77777777" w:rsidR="00C717B8" w:rsidRPr="00485619" w:rsidRDefault="00833254" w:rsidP="00485619">
      <w:pPr>
        <w:pStyle w:val="Prrafodelista"/>
        <w:numPr>
          <w:ilvl w:val="0"/>
          <w:numId w:val="36"/>
        </w:numPr>
        <w:jc w:val="both"/>
        <w:rPr>
          <w:rFonts w:ascii="Verdana" w:hAnsi="Verdana"/>
        </w:rPr>
      </w:pPr>
      <w:r w:rsidRPr="00485619">
        <w:rPr>
          <w:rFonts w:ascii="Verdana" w:hAnsi="Verdana"/>
        </w:rPr>
        <w:t>Instituto de Fomento y</w:t>
      </w:r>
      <w:r w:rsidR="00C717B8" w:rsidRPr="00485619">
        <w:rPr>
          <w:rFonts w:ascii="Verdana" w:hAnsi="Verdana"/>
        </w:rPr>
        <w:t xml:space="preserve"> Asesoría Municipal</w:t>
      </w:r>
    </w:p>
    <w:p w14:paraId="3551A291" w14:textId="77777777" w:rsidR="00C717B8" w:rsidRPr="00485619" w:rsidRDefault="00C717B8" w:rsidP="00485619">
      <w:pPr>
        <w:pStyle w:val="Prrafodelista"/>
        <w:numPr>
          <w:ilvl w:val="0"/>
          <w:numId w:val="36"/>
        </w:numPr>
        <w:jc w:val="both"/>
        <w:rPr>
          <w:rFonts w:ascii="Verdana" w:hAnsi="Verdana"/>
        </w:rPr>
      </w:pPr>
      <w:r w:rsidRPr="00485619">
        <w:rPr>
          <w:rFonts w:ascii="Verdana" w:hAnsi="Verdana"/>
        </w:rPr>
        <w:t>Hospital Raúl Blanco Cervantes</w:t>
      </w:r>
    </w:p>
    <w:p w14:paraId="17D65EA2" w14:textId="77777777" w:rsidR="00C717B8" w:rsidRPr="00485619" w:rsidRDefault="00833254" w:rsidP="00485619">
      <w:pPr>
        <w:pStyle w:val="Prrafodelista"/>
        <w:numPr>
          <w:ilvl w:val="0"/>
          <w:numId w:val="36"/>
        </w:numPr>
        <w:jc w:val="both"/>
        <w:rPr>
          <w:rFonts w:ascii="Verdana" w:hAnsi="Verdana"/>
        </w:rPr>
      </w:pPr>
      <w:r w:rsidRPr="00485619">
        <w:rPr>
          <w:rFonts w:ascii="Verdana" w:hAnsi="Verdana"/>
        </w:rPr>
        <w:t>Ministerio de Justicia y</w:t>
      </w:r>
      <w:r w:rsidR="00C717B8" w:rsidRPr="00485619">
        <w:rPr>
          <w:rFonts w:ascii="Verdana" w:hAnsi="Verdana"/>
        </w:rPr>
        <w:t xml:space="preserve"> Paz</w:t>
      </w:r>
    </w:p>
    <w:p w14:paraId="15F92B0C" w14:textId="77777777" w:rsidR="00C717B8" w:rsidRPr="00485619" w:rsidRDefault="00833254" w:rsidP="00485619">
      <w:pPr>
        <w:pStyle w:val="Prrafodelista"/>
        <w:numPr>
          <w:ilvl w:val="0"/>
          <w:numId w:val="36"/>
        </w:numPr>
        <w:jc w:val="both"/>
        <w:rPr>
          <w:rFonts w:ascii="Verdana" w:hAnsi="Verdana"/>
        </w:rPr>
      </w:pPr>
      <w:r w:rsidRPr="00485619">
        <w:rPr>
          <w:rFonts w:ascii="Verdana" w:hAnsi="Verdana"/>
        </w:rPr>
        <w:t>Instituto Nacional de Vivienda y</w:t>
      </w:r>
      <w:r w:rsidR="00C717B8" w:rsidRPr="00485619">
        <w:rPr>
          <w:rFonts w:ascii="Verdana" w:hAnsi="Verdana"/>
        </w:rPr>
        <w:t xml:space="preserve"> Urbanismo</w:t>
      </w:r>
    </w:p>
    <w:p w14:paraId="12F515B2" w14:textId="77777777" w:rsidR="006A6EA9" w:rsidRPr="00485619" w:rsidRDefault="00833254" w:rsidP="00485619">
      <w:pPr>
        <w:pStyle w:val="Prrafodelista"/>
        <w:numPr>
          <w:ilvl w:val="0"/>
          <w:numId w:val="36"/>
        </w:numPr>
        <w:jc w:val="both"/>
        <w:rPr>
          <w:rFonts w:ascii="Verdana" w:hAnsi="Verdana"/>
        </w:rPr>
      </w:pPr>
      <w:r w:rsidRPr="00485619">
        <w:rPr>
          <w:rFonts w:ascii="Verdana" w:hAnsi="Verdana"/>
        </w:rPr>
        <w:t>Municipalidad d</w:t>
      </w:r>
      <w:r w:rsidR="00C717B8" w:rsidRPr="00485619">
        <w:rPr>
          <w:rFonts w:ascii="Verdana" w:hAnsi="Verdana"/>
        </w:rPr>
        <w:t>e Aserrí</w:t>
      </w:r>
    </w:p>
    <w:p w14:paraId="5F4E1931" w14:textId="77777777" w:rsidR="00C717B8" w:rsidRPr="00485619" w:rsidRDefault="00C717B8" w:rsidP="00485619">
      <w:pPr>
        <w:pStyle w:val="Prrafodelista"/>
        <w:ind w:left="720"/>
        <w:jc w:val="both"/>
        <w:rPr>
          <w:rFonts w:ascii="Verdana" w:hAnsi="Verdana"/>
        </w:rPr>
      </w:pPr>
    </w:p>
    <w:p w14:paraId="52294A3C" w14:textId="77777777" w:rsidR="00FC7940" w:rsidRPr="00485619" w:rsidRDefault="00C717B8" w:rsidP="00485619">
      <w:pPr>
        <w:spacing w:after="0" w:line="240" w:lineRule="auto"/>
        <w:jc w:val="both"/>
        <w:rPr>
          <w:rFonts w:ascii="Verdana" w:eastAsia="Times New Roman" w:hAnsi="Verdana" w:cs="Times New Roman"/>
          <w:sz w:val="24"/>
          <w:szCs w:val="24"/>
          <w:highlight w:val="yellow"/>
          <w:lang w:val="es-ES" w:eastAsia="es-ES"/>
        </w:rPr>
      </w:pPr>
      <w:r w:rsidRPr="00485619">
        <w:rPr>
          <w:rFonts w:ascii="Verdana" w:eastAsia="Times New Roman" w:hAnsi="Verdana" w:cs="Times New Roman"/>
          <w:sz w:val="24"/>
          <w:szCs w:val="24"/>
          <w:lang w:val="es-ES" w:eastAsia="es-ES"/>
        </w:rPr>
        <w:t>De estas 114 instituciones únicamente 78 (67,8%) cuentan</w:t>
      </w:r>
      <w:r w:rsidR="006A6EA9" w:rsidRPr="00485619">
        <w:rPr>
          <w:rFonts w:ascii="Verdana" w:eastAsia="Times New Roman" w:hAnsi="Verdana" w:cs="Times New Roman"/>
          <w:sz w:val="24"/>
          <w:szCs w:val="24"/>
          <w:lang w:val="es-ES" w:eastAsia="es-ES"/>
        </w:rPr>
        <w:t xml:space="preserve"> con firma digital validada</w:t>
      </w:r>
      <w:r w:rsidRPr="00485619">
        <w:rPr>
          <w:rFonts w:ascii="Verdana" w:eastAsia="Times New Roman" w:hAnsi="Verdana" w:cs="Times New Roman"/>
          <w:sz w:val="24"/>
          <w:szCs w:val="24"/>
          <w:lang w:val="es-ES" w:eastAsia="es-ES"/>
        </w:rPr>
        <w:t xml:space="preserve"> para tales documentos</w:t>
      </w:r>
      <w:r w:rsidR="006A6EA9" w:rsidRPr="00485619">
        <w:rPr>
          <w:rFonts w:ascii="Verdana" w:eastAsia="Times New Roman" w:hAnsi="Verdana" w:cs="Times New Roman"/>
          <w:sz w:val="24"/>
          <w:szCs w:val="24"/>
          <w:lang w:val="es-ES" w:eastAsia="es-ES"/>
        </w:rPr>
        <w:t>,</w:t>
      </w:r>
      <w:r w:rsidR="00833254" w:rsidRPr="00485619">
        <w:rPr>
          <w:rFonts w:ascii="Verdana" w:eastAsia="Times New Roman" w:hAnsi="Verdana" w:cs="Times New Roman"/>
          <w:sz w:val="24"/>
          <w:szCs w:val="24"/>
          <w:lang w:val="es-ES" w:eastAsia="es-ES"/>
        </w:rPr>
        <w:t xml:space="preserve"> el Consejo Nacional de Viabilidad</w:t>
      </w:r>
      <w:r w:rsidRPr="00485619">
        <w:rPr>
          <w:rFonts w:ascii="Verdana" w:eastAsia="Times New Roman" w:hAnsi="Verdana" w:cs="Times New Roman"/>
          <w:sz w:val="24"/>
          <w:szCs w:val="24"/>
          <w:lang w:val="es-ES" w:eastAsia="es-ES"/>
        </w:rPr>
        <w:t xml:space="preserve"> no respondió esta pregunta. </w:t>
      </w:r>
    </w:p>
    <w:p w14:paraId="1511CD0C"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66F3F264" w14:textId="15E5B5F1"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Los anteriores resultados reflejan que la mayoría de las instituciones generan documentos en soporte electrónico, sin embargo</w:t>
      </w:r>
      <w:r w:rsidR="00D350A6" w:rsidRPr="00485619">
        <w:rPr>
          <w:rFonts w:ascii="Verdana" w:eastAsia="Times New Roman" w:hAnsi="Verdana" w:cs="Times New Roman"/>
          <w:sz w:val="24"/>
          <w:szCs w:val="24"/>
          <w:lang w:val="es-ES" w:eastAsia="es-ES"/>
        </w:rPr>
        <w:t>,</w:t>
      </w:r>
      <w:r w:rsidRPr="00485619">
        <w:rPr>
          <w:rFonts w:ascii="Verdana" w:eastAsia="Times New Roman" w:hAnsi="Verdana" w:cs="Times New Roman"/>
          <w:sz w:val="24"/>
          <w:szCs w:val="24"/>
          <w:lang w:val="es-ES" w:eastAsia="es-ES"/>
        </w:rPr>
        <w:t xml:space="preserve"> hay un gran desconociendo por parte de los Encargados de los Archivos Centrales, </w:t>
      </w:r>
      <w:r w:rsidR="00A94DB9" w:rsidRPr="00485619">
        <w:rPr>
          <w:rFonts w:ascii="Verdana" w:eastAsia="Times New Roman" w:hAnsi="Verdana" w:cs="Times New Roman"/>
          <w:sz w:val="24"/>
          <w:szCs w:val="24"/>
          <w:lang w:val="es-ES" w:eastAsia="es-ES"/>
        </w:rPr>
        <w:t xml:space="preserve">de </w:t>
      </w:r>
      <w:r w:rsidRPr="00485619">
        <w:rPr>
          <w:rFonts w:ascii="Verdana" w:eastAsia="Times New Roman" w:hAnsi="Verdana" w:cs="Times New Roman"/>
          <w:sz w:val="24"/>
          <w:szCs w:val="24"/>
          <w:lang w:val="es-ES" w:eastAsia="es-ES"/>
        </w:rPr>
        <w:t xml:space="preserve">si estos documentos contienen firma digital validada. En seguida, se muestra un gráfico </w:t>
      </w:r>
      <w:r w:rsidR="00FF115B" w:rsidRPr="00485619">
        <w:rPr>
          <w:rFonts w:ascii="Verdana" w:eastAsia="Times New Roman" w:hAnsi="Verdana" w:cs="Times New Roman"/>
          <w:sz w:val="24"/>
          <w:szCs w:val="24"/>
          <w:lang w:val="es-ES" w:eastAsia="es-ES"/>
        </w:rPr>
        <w:t xml:space="preserve">comparativo de la </w:t>
      </w:r>
      <w:r w:rsidRPr="00485619">
        <w:rPr>
          <w:rFonts w:ascii="Verdana" w:eastAsia="Times New Roman" w:hAnsi="Verdana" w:cs="Times New Roman"/>
          <w:sz w:val="24"/>
          <w:szCs w:val="24"/>
          <w:lang w:val="es-ES" w:eastAsia="es-ES"/>
        </w:rPr>
        <w:t>cantidad de instituciones que gestionan documentos en soporte electrónico</w:t>
      </w:r>
      <w:r w:rsidR="00FF115B" w:rsidRPr="00485619">
        <w:rPr>
          <w:rFonts w:ascii="Verdana" w:eastAsia="Times New Roman" w:hAnsi="Verdana" w:cs="Times New Roman"/>
          <w:sz w:val="24"/>
          <w:szCs w:val="24"/>
          <w:lang w:val="es-ES" w:eastAsia="es-ES"/>
        </w:rPr>
        <w:t xml:space="preserve"> y la cantidad de instituciones que utilizan la firma digital validada</w:t>
      </w:r>
      <w:r w:rsidRPr="00485619">
        <w:rPr>
          <w:rFonts w:ascii="Verdana" w:eastAsia="Times New Roman" w:hAnsi="Verdana" w:cs="Times New Roman"/>
          <w:sz w:val="24"/>
          <w:szCs w:val="24"/>
          <w:lang w:val="es-ES" w:eastAsia="es-ES"/>
        </w:rPr>
        <w:t xml:space="preserve">. </w:t>
      </w:r>
    </w:p>
    <w:p w14:paraId="37A6C689" w14:textId="77777777" w:rsidR="00203389" w:rsidRDefault="00203389" w:rsidP="00485619">
      <w:pPr>
        <w:spacing w:after="0" w:line="240" w:lineRule="auto"/>
        <w:jc w:val="both"/>
        <w:rPr>
          <w:rFonts w:ascii="Verdana" w:eastAsia="Times New Roman" w:hAnsi="Verdana" w:cs="Times New Roman"/>
          <w:sz w:val="24"/>
          <w:szCs w:val="24"/>
          <w:highlight w:val="yellow"/>
          <w:lang w:val="es-ES" w:eastAsia="es-ES"/>
        </w:rPr>
      </w:pPr>
    </w:p>
    <w:p w14:paraId="0D268DC6" w14:textId="77777777" w:rsidR="00ED16F5" w:rsidRDefault="00ED16F5" w:rsidP="00485619">
      <w:pPr>
        <w:spacing w:after="0" w:line="240" w:lineRule="auto"/>
        <w:jc w:val="both"/>
        <w:rPr>
          <w:rFonts w:ascii="Verdana" w:eastAsia="Times New Roman" w:hAnsi="Verdana" w:cs="Times New Roman"/>
          <w:sz w:val="24"/>
          <w:szCs w:val="24"/>
          <w:highlight w:val="yellow"/>
          <w:lang w:val="es-ES" w:eastAsia="es-ES"/>
        </w:rPr>
      </w:pPr>
    </w:p>
    <w:p w14:paraId="0F085BA7" w14:textId="77777777" w:rsidR="00ED16F5" w:rsidRPr="00485619" w:rsidRDefault="00ED16F5" w:rsidP="00485619">
      <w:pPr>
        <w:spacing w:after="0" w:line="240" w:lineRule="auto"/>
        <w:jc w:val="both"/>
        <w:rPr>
          <w:rFonts w:ascii="Verdana" w:eastAsia="Times New Roman" w:hAnsi="Verdana" w:cs="Times New Roman"/>
          <w:sz w:val="24"/>
          <w:szCs w:val="24"/>
          <w:highlight w:val="yellow"/>
          <w:lang w:val="es-ES" w:eastAsia="es-ES"/>
        </w:rPr>
      </w:pPr>
    </w:p>
    <w:p w14:paraId="141B584E" w14:textId="77777777" w:rsidR="00203389" w:rsidRPr="00485619" w:rsidRDefault="00203389" w:rsidP="00760686">
      <w:pPr>
        <w:spacing w:after="0" w:line="240" w:lineRule="auto"/>
        <w:jc w:val="center"/>
        <w:rPr>
          <w:rFonts w:ascii="Verdana" w:eastAsia="Times New Roman" w:hAnsi="Verdana" w:cs="Times New Roman"/>
          <w:sz w:val="24"/>
          <w:szCs w:val="24"/>
          <w:highlight w:val="yellow"/>
          <w:lang w:val="es-ES" w:eastAsia="es-ES"/>
        </w:rPr>
      </w:pPr>
      <w:r w:rsidRPr="00485619">
        <w:rPr>
          <w:rFonts w:ascii="Verdana" w:hAnsi="Verdana"/>
          <w:noProof/>
          <w:sz w:val="24"/>
          <w:szCs w:val="24"/>
          <w:lang w:val="es-ES" w:eastAsia="es-ES"/>
        </w:rPr>
        <w:drawing>
          <wp:inline distT="0" distB="0" distL="0" distR="0" wp14:anchorId="56B513CD" wp14:editId="5BCE15B1">
            <wp:extent cx="5760720" cy="295275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175657"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325835AD" w14:textId="77777777" w:rsidR="00621D3B" w:rsidRDefault="00621D3B" w:rsidP="00485619">
      <w:pPr>
        <w:spacing w:after="0" w:line="240" w:lineRule="auto"/>
        <w:jc w:val="both"/>
        <w:rPr>
          <w:rFonts w:ascii="Verdana" w:eastAsia="Times New Roman" w:hAnsi="Verdana" w:cs="Times New Roman"/>
          <w:sz w:val="24"/>
          <w:szCs w:val="24"/>
          <w:highlight w:val="yellow"/>
          <w:lang w:val="es-ES" w:eastAsia="es-ES"/>
        </w:rPr>
      </w:pPr>
    </w:p>
    <w:p w14:paraId="2E4E4E82" w14:textId="77777777" w:rsidR="00ED16F5" w:rsidRPr="00485619" w:rsidRDefault="00ED16F5" w:rsidP="00485619">
      <w:pPr>
        <w:spacing w:after="0" w:line="240" w:lineRule="auto"/>
        <w:jc w:val="both"/>
        <w:rPr>
          <w:rFonts w:ascii="Verdana" w:eastAsia="Times New Roman" w:hAnsi="Verdana" w:cs="Times New Roman"/>
          <w:sz w:val="24"/>
          <w:szCs w:val="24"/>
          <w:highlight w:val="yellow"/>
          <w:lang w:val="es-ES" w:eastAsia="es-ES"/>
        </w:rPr>
      </w:pPr>
    </w:p>
    <w:p w14:paraId="7D10013D" w14:textId="77777777" w:rsidR="006A6EA9" w:rsidRPr="00485619" w:rsidRDefault="006A6EA9" w:rsidP="00485619">
      <w:pPr>
        <w:pStyle w:val="Ttulo3"/>
        <w:jc w:val="both"/>
        <w:rPr>
          <w:sz w:val="24"/>
        </w:rPr>
      </w:pPr>
      <w:bookmarkStart w:id="10" w:name="_Toc444697507"/>
      <w:r w:rsidRPr="00485619">
        <w:rPr>
          <w:sz w:val="24"/>
        </w:rPr>
        <w:t>2.2 Clasificación y ordenación documental</w:t>
      </w:r>
      <w:bookmarkEnd w:id="10"/>
    </w:p>
    <w:p w14:paraId="6A0C87BB" w14:textId="77777777" w:rsidR="006A6EA9" w:rsidRPr="00485619" w:rsidRDefault="006A6EA9" w:rsidP="00485619">
      <w:pPr>
        <w:spacing w:after="0" w:line="240" w:lineRule="auto"/>
        <w:jc w:val="both"/>
        <w:rPr>
          <w:rFonts w:ascii="Verdana" w:eastAsia="Times New Roman" w:hAnsi="Verdana" w:cs="Arial"/>
          <w:sz w:val="24"/>
          <w:szCs w:val="24"/>
          <w:lang w:val="es-ES" w:eastAsia="es-ES"/>
        </w:rPr>
      </w:pPr>
    </w:p>
    <w:p w14:paraId="7DBFF376" w14:textId="047B2F43" w:rsidR="006D3B8F"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De las </w:t>
      </w:r>
      <w:r w:rsidR="00203389" w:rsidRPr="00485619">
        <w:rPr>
          <w:rFonts w:ascii="Verdana" w:eastAsia="Times New Roman" w:hAnsi="Verdana" w:cs="Times New Roman"/>
          <w:sz w:val="24"/>
          <w:szCs w:val="24"/>
          <w:lang w:val="es-ES" w:eastAsia="es-ES"/>
        </w:rPr>
        <w:t>119</w:t>
      </w:r>
      <w:r w:rsidRPr="00485619">
        <w:rPr>
          <w:rFonts w:ascii="Verdana" w:eastAsia="Times New Roman" w:hAnsi="Verdana" w:cs="Times New Roman"/>
          <w:sz w:val="24"/>
          <w:szCs w:val="24"/>
          <w:lang w:val="es-ES" w:eastAsia="es-ES"/>
        </w:rPr>
        <w:t xml:space="preserve"> instituciones</w:t>
      </w:r>
      <w:r w:rsidR="00203389" w:rsidRPr="00485619">
        <w:rPr>
          <w:rFonts w:ascii="Verdana" w:eastAsia="Times New Roman" w:hAnsi="Verdana" w:cs="Times New Roman"/>
          <w:sz w:val="24"/>
          <w:szCs w:val="24"/>
          <w:lang w:val="es-ES" w:eastAsia="es-ES"/>
        </w:rPr>
        <w:t xml:space="preserve"> en análisis</w:t>
      </w:r>
      <w:r w:rsidRPr="00485619">
        <w:rPr>
          <w:rFonts w:ascii="Verdana" w:eastAsia="Times New Roman" w:hAnsi="Verdana" w:cs="Times New Roman"/>
          <w:sz w:val="24"/>
          <w:szCs w:val="24"/>
          <w:lang w:val="es-ES" w:eastAsia="es-ES"/>
        </w:rPr>
        <w:t xml:space="preserve">, </w:t>
      </w:r>
      <w:r w:rsidR="0045301E" w:rsidRPr="00485619">
        <w:rPr>
          <w:rFonts w:ascii="Verdana" w:eastAsia="Times New Roman" w:hAnsi="Verdana" w:cs="Times New Roman"/>
          <w:sz w:val="24"/>
          <w:szCs w:val="24"/>
          <w:lang w:val="es-ES" w:eastAsia="es-ES"/>
        </w:rPr>
        <w:t>66</w:t>
      </w:r>
      <w:r w:rsidR="00D350A6" w:rsidRPr="00485619">
        <w:rPr>
          <w:rFonts w:ascii="Verdana" w:eastAsia="Times New Roman" w:hAnsi="Verdana" w:cs="Times New Roman"/>
          <w:sz w:val="24"/>
          <w:szCs w:val="24"/>
          <w:lang w:val="es-ES" w:eastAsia="es-ES"/>
        </w:rPr>
        <w:t xml:space="preserve"> </w:t>
      </w:r>
      <w:r w:rsidR="0045301E" w:rsidRPr="00485619">
        <w:rPr>
          <w:rFonts w:ascii="Verdana" w:eastAsia="Times New Roman" w:hAnsi="Verdana" w:cs="Times New Roman"/>
          <w:sz w:val="24"/>
          <w:szCs w:val="24"/>
          <w:lang w:val="es-ES" w:eastAsia="es-ES"/>
        </w:rPr>
        <w:t>(55.5</w:t>
      </w:r>
      <w:r w:rsidR="00203389" w:rsidRPr="00485619">
        <w:rPr>
          <w:rFonts w:ascii="Verdana" w:eastAsia="Times New Roman" w:hAnsi="Verdana" w:cs="Times New Roman"/>
          <w:sz w:val="24"/>
          <w:szCs w:val="24"/>
          <w:lang w:val="es-ES" w:eastAsia="es-ES"/>
        </w:rPr>
        <w:t xml:space="preserve">%) </w:t>
      </w:r>
      <w:r w:rsidR="00D350A6" w:rsidRPr="00485619">
        <w:rPr>
          <w:rFonts w:ascii="Verdana" w:eastAsia="Times New Roman" w:hAnsi="Verdana" w:cs="Times New Roman"/>
          <w:sz w:val="24"/>
          <w:szCs w:val="24"/>
          <w:lang w:val="es-ES" w:eastAsia="es-ES"/>
        </w:rPr>
        <w:t>manifestaron</w:t>
      </w:r>
      <w:r w:rsidR="0045301E" w:rsidRPr="00485619">
        <w:rPr>
          <w:rFonts w:ascii="Verdana" w:eastAsia="Times New Roman" w:hAnsi="Verdana" w:cs="Times New Roman"/>
          <w:sz w:val="24"/>
          <w:szCs w:val="24"/>
          <w:lang w:val="es-ES" w:eastAsia="es-ES"/>
        </w:rPr>
        <w:t xml:space="preserve"> contar con un cuadro</w:t>
      </w:r>
      <w:r w:rsidRPr="00485619">
        <w:rPr>
          <w:rFonts w:ascii="Verdana" w:eastAsia="Times New Roman" w:hAnsi="Verdana" w:cs="Times New Roman"/>
          <w:sz w:val="24"/>
          <w:szCs w:val="24"/>
          <w:lang w:val="es-ES" w:eastAsia="es-ES"/>
        </w:rPr>
        <w:t xml:space="preserve"> de clasificación normalizado de documentos, mientras que </w:t>
      </w:r>
      <w:r w:rsidR="0045301E" w:rsidRPr="00485619">
        <w:rPr>
          <w:rFonts w:ascii="Verdana" w:eastAsia="Times New Roman" w:hAnsi="Verdana" w:cs="Times New Roman"/>
          <w:sz w:val="24"/>
          <w:szCs w:val="24"/>
          <w:lang w:val="es-ES" w:eastAsia="es-ES"/>
        </w:rPr>
        <w:t>31 (26,1</w:t>
      </w:r>
      <w:r w:rsidR="00031441" w:rsidRPr="00485619">
        <w:rPr>
          <w:rFonts w:ascii="Verdana" w:eastAsia="Times New Roman" w:hAnsi="Verdana" w:cs="Times New Roman"/>
          <w:sz w:val="24"/>
          <w:szCs w:val="24"/>
          <w:lang w:val="es-ES" w:eastAsia="es-ES"/>
        </w:rPr>
        <w:t>%)</w:t>
      </w:r>
      <w:r w:rsidR="00D53356" w:rsidRPr="00485619">
        <w:rPr>
          <w:rFonts w:ascii="Verdana" w:eastAsia="Times New Roman" w:hAnsi="Verdana" w:cs="Times New Roman"/>
          <w:sz w:val="24"/>
          <w:szCs w:val="24"/>
          <w:lang w:val="es-ES" w:eastAsia="es-ES"/>
        </w:rPr>
        <w:t xml:space="preserve"> indic</w:t>
      </w:r>
      <w:r w:rsidR="00D350A6" w:rsidRPr="00485619">
        <w:rPr>
          <w:rFonts w:ascii="Verdana" w:eastAsia="Times New Roman" w:hAnsi="Verdana" w:cs="Times New Roman"/>
          <w:sz w:val="24"/>
          <w:szCs w:val="24"/>
          <w:lang w:val="es-ES" w:eastAsia="es-ES"/>
        </w:rPr>
        <w:t>aron</w:t>
      </w:r>
      <w:r w:rsidR="00D53356" w:rsidRPr="00485619">
        <w:rPr>
          <w:rFonts w:ascii="Verdana" w:eastAsia="Times New Roman" w:hAnsi="Verdana" w:cs="Times New Roman"/>
          <w:sz w:val="24"/>
          <w:szCs w:val="24"/>
          <w:lang w:val="es-ES" w:eastAsia="es-ES"/>
        </w:rPr>
        <w:t xml:space="preserve"> aplicarlo de manera parcial</w:t>
      </w:r>
      <w:r w:rsidR="00D350A6" w:rsidRPr="00485619">
        <w:rPr>
          <w:rFonts w:ascii="Verdana" w:eastAsia="Times New Roman" w:hAnsi="Verdana" w:cs="Times New Roman"/>
          <w:sz w:val="24"/>
          <w:szCs w:val="24"/>
          <w:lang w:val="es-ES" w:eastAsia="es-ES"/>
        </w:rPr>
        <w:t>.</w:t>
      </w:r>
      <w:r w:rsidR="00D53356" w:rsidRPr="00485619">
        <w:rPr>
          <w:rFonts w:ascii="Verdana" w:eastAsia="Times New Roman" w:hAnsi="Verdana" w:cs="Times New Roman"/>
          <w:sz w:val="24"/>
          <w:szCs w:val="24"/>
          <w:lang w:val="es-ES" w:eastAsia="es-ES"/>
        </w:rPr>
        <w:t xml:space="preserve"> </w:t>
      </w:r>
      <w:r w:rsidR="00D350A6" w:rsidRPr="00485619">
        <w:rPr>
          <w:rFonts w:ascii="Verdana" w:eastAsia="Times New Roman" w:hAnsi="Verdana" w:cs="Times New Roman"/>
          <w:sz w:val="24"/>
          <w:szCs w:val="24"/>
          <w:lang w:val="es-ES" w:eastAsia="es-ES"/>
        </w:rPr>
        <w:t>L</w:t>
      </w:r>
      <w:r w:rsidR="006D3B8F" w:rsidRPr="00485619">
        <w:rPr>
          <w:rFonts w:ascii="Verdana" w:eastAsia="Times New Roman" w:hAnsi="Verdana" w:cs="Times New Roman"/>
          <w:sz w:val="24"/>
          <w:szCs w:val="24"/>
          <w:lang w:val="es-ES" w:eastAsia="es-ES"/>
        </w:rPr>
        <w:t xml:space="preserve">as siguientes </w:t>
      </w:r>
      <w:r w:rsidR="0045301E" w:rsidRPr="00485619">
        <w:rPr>
          <w:rFonts w:ascii="Verdana" w:eastAsia="Times New Roman" w:hAnsi="Verdana" w:cs="Times New Roman"/>
          <w:sz w:val="24"/>
          <w:szCs w:val="24"/>
          <w:lang w:val="es-ES" w:eastAsia="es-ES"/>
        </w:rPr>
        <w:t>22</w:t>
      </w:r>
      <w:r w:rsidR="00D53356" w:rsidRPr="00485619">
        <w:rPr>
          <w:rFonts w:ascii="Verdana" w:eastAsia="Times New Roman" w:hAnsi="Verdana" w:cs="Times New Roman"/>
          <w:sz w:val="24"/>
          <w:szCs w:val="24"/>
          <w:lang w:val="es-ES" w:eastAsia="es-ES"/>
        </w:rPr>
        <w:t xml:space="preserve"> </w:t>
      </w:r>
      <w:r w:rsidR="0045301E" w:rsidRPr="00485619">
        <w:rPr>
          <w:rFonts w:ascii="Verdana" w:eastAsia="Times New Roman" w:hAnsi="Verdana" w:cs="Times New Roman"/>
          <w:sz w:val="24"/>
          <w:szCs w:val="24"/>
          <w:lang w:val="es-ES" w:eastAsia="es-ES"/>
        </w:rPr>
        <w:t xml:space="preserve">(18.5%) </w:t>
      </w:r>
      <w:r w:rsidR="006D3B8F" w:rsidRPr="00485619">
        <w:rPr>
          <w:rFonts w:ascii="Verdana" w:eastAsia="Times New Roman" w:hAnsi="Verdana" w:cs="Times New Roman"/>
          <w:sz w:val="24"/>
          <w:szCs w:val="24"/>
          <w:lang w:val="es-ES" w:eastAsia="es-ES"/>
        </w:rPr>
        <w:t xml:space="preserve">instituciones </w:t>
      </w:r>
      <w:r w:rsidR="00D53356" w:rsidRPr="00485619">
        <w:rPr>
          <w:rFonts w:ascii="Verdana" w:eastAsia="Times New Roman" w:hAnsi="Verdana" w:cs="Times New Roman"/>
          <w:sz w:val="24"/>
          <w:szCs w:val="24"/>
          <w:lang w:val="es-ES" w:eastAsia="es-ES"/>
        </w:rPr>
        <w:t>señal</w:t>
      </w:r>
      <w:r w:rsidR="008C4144" w:rsidRPr="00485619">
        <w:rPr>
          <w:rFonts w:ascii="Verdana" w:eastAsia="Times New Roman" w:hAnsi="Verdana" w:cs="Times New Roman"/>
          <w:sz w:val="24"/>
          <w:szCs w:val="24"/>
          <w:lang w:val="es-ES" w:eastAsia="es-ES"/>
        </w:rPr>
        <w:t>ar</w:t>
      </w:r>
      <w:r w:rsidR="006D3B8F" w:rsidRPr="00485619">
        <w:rPr>
          <w:rFonts w:ascii="Verdana" w:eastAsia="Times New Roman" w:hAnsi="Verdana" w:cs="Times New Roman"/>
          <w:sz w:val="24"/>
          <w:szCs w:val="24"/>
          <w:lang w:val="es-ES" w:eastAsia="es-ES"/>
        </w:rPr>
        <w:t>on</w:t>
      </w:r>
      <w:r w:rsidR="0045301E" w:rsidRPr="00485619">
        <w:rPr>
          <w:rFonts w:ascii="Verdana" w:eastAsia="Times New Roman" w:hAnsi="Verdana" w:cs="Times New Roman"/>
          <w:sz w:val="24"/>
          <w:szCs w:val="24"/>
          <w:lang w:val="es-ES" w:eastAsia="es-ES"/>
        </w:rPr>
        <w:t xml:space="preserve"> no utilizar ningún cuadro</w:t>
      </w:r>
      <w:r w:rsidR="00D53356" w:rsidRPr="00485619">
        <w:rPr>
          <w:rFonts w:ascii="Verdana" w:eastAsia="Times New Roman" w:hAnsi="Verdana" w:cs="Times New Roman"/>
          <w:sz w:val="24"/>
          <w:szCs w:val="24"/>
          <w:lang w:val="es-ES" w:eastAsia="es-ES"/>
        </w:rPr>
        <w:t xml:space="preserve"> de clasificaci</w:t>
      </w:r>
      <w:r w:rsidR="006D3B8F" w:rsidRPr="00485619">
        <w:rPr>
          <w:rFonts w:ascii="Verdana" w:eastAsia="Times New Roman" w:hAnsi="Verdana" w:cs="Times New Roman"/>
          <w:sz w:val="24"/>
          <w:szCs w:val="24"/>
          <w:lang w:val="es-ES" w:eastAsia="es-ES"/>
        </w:rPr>
        <w:t xml:space="preserve">ón documental: </w:t>
      </w:r>
    </w:p>
    <w:p w14:paraId="47EBF099" w14:textId="77777777" w:rsidR="008C4144" w:rsidRPr="00485619" w:rsidRDefault="008C4144" w:rsidP="00485619">
      <w:pPr>
        <w:spacing w:after="0" w:line="240" w:lineRule="auto"/>
        <w:jc w:val="both"/>
        <w:rPr>
          <w:rFonts w:ascii="Verdana" w:eastAsia="Times New Roman" w:hAnsi="Verdana" w:cs="Times New Roman"/>
          <w:sz w:val="24"/>
          <w:szCs w:val="24"/>
          <w:highlight w:val="yellow"/>
          <w:lang w:val="es-ES" w:eastAsia="es-ES"/>
        </w:rPr>
      </w:pPr>
    </w:p>
    <w:p w14:paraId="63517859"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Caja Costarricense de Seguro Social</w:t>
      </w:r>
    </w:p>
    <w:p w14:paraId="4782DB81"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Correos de Costa Rica</w:t>
      </w:r>
    </w:p>
    <w:p w14:paraId="022BB04B" w14:textId="77777777" w:rsidR="00ED16F5" w:rsidRPr="00485619" w:rsidRDefault="00ED16F5" w:rsidP="00485619">
      <w:pPr>
        <w:pStyle w:val="Prrafodelista"/>
        <w:numPr>
          <w:ilvl w:val="0"/>
          <w:numId w:val="40"/>
        </w:numPr>
        <w:jc w:val="both"/>
        <w:rPr>
          <w:rFonts w:ascii="Verdana" w:eastAsiaTheme="minorHAnsi" w:hAnsi="Verdana" w:cstheme="minorBidi"/>
          <w:lang w:eastAsia="en-US"/>
        </w:rPr>
      </w:pPr>
      <w:r w:rsidRPr="00485619">
        <w:rPr>
          <w:rFonts w:ascii="Verdana" w:hAnsi="Verdana"/>
        </w:rPr>
        <w:t>Instituto Costarricense de Investigación y Enseñanza en Nutrición y Salud (Inciencia)</w:t>
      </w:r>
    </w:p>
    <w:p w14:paraId="6116EB36"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Instituto del Café de Costa Rica</w:t>
      </w:r>
    </w:p>
    <w:p w14:paraId="474A58C7"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Instituto Nacional de Estadísticas y Censos</w:t>
      </w:r>
    </w:p>
    <w:p w14:paraId="0A3C92D4"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Instituto Nacional de Vivienda y Urbanismo</w:t>
      </w:r>
    </w:p>
    <w:p w14:paraId="50D97BE6"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Junta de Administración Portuaria y Desarrollo Económico de la Vertiente Atlántica (Japdeva)</w:t>
      </w:r>
    </w:p>
    <w:p w14:paraId="4272F8D3"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Junta de Desarrollo Regional de la Zona Sur (JUDESUR)</w:t>
      </w:r>
    </w:p>
    <w:p w14:paraId="4FC0A16D"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Ministerio de Relaciones Exteriores y Culto</w:t>
      </w:r>
    </w:p>
    <w:p w14:paraId="2BFDA638"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Ministerio de Seguridad Pública</w:t>
      </w:r>
    </w:p>
    <w:p w14:paraId="3CDE8118"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Escazú</w:t>
      </w:r>
    </w:p>
    <w:p w14:paraId="3F0B4BE3"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Flores</w:t>
      </w:r>
    </w:p>
    <w:p w14:paraId="2F6B18F6"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Garabito</w:t>
      </w:r>
    </w:p>
    <w:p w14:paraId="3AA95282"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Heredia</w:t>
      </w:r>
    </w:p>
    <w:p w14:paraId="0CCF2776"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la Unión</w:t>
      </w:r>
    </w:p>
    <w:p w14:paraId="0229925E"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Liberia</w:t>
      </w:r>
    </w:p>
    <w:p w14:paraId="0FE0D1FB"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Puntarenas</w:t>
      </w:r>
    </w:p>
    <w:p w14:paraId="3EE435A5"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San Isidro</w:t>
      </w:r>
    </w:p>
    <w:p w14:paraId="53EAD2E8"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Municipalidad de San Rafael de Heredia</w:t>
      </w:r>
    </w:p>
    <w:p w14:paraId="72A9F18F"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Promotora de Comercio Exterior</w:t>
      </w:r>
    </w:p>
    <w:p w14:paraId="7CA4EEA3"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Teatro Nacional</w:t>
      </w:r>
    </w:p>
    <w:p w14:paraId="5E63CE70" w14:textId="77777777" w:rsidR="00ED16F5" w:rsidRPr="00485619" w:rsidRDefault="00ED16F5" w:rsidP="00485619">
      <w:pPr>
        <w:pStyle w:val="Prrafodelista"/>
        <w:numPr>
          <w:ilvl w:val="0"/>
          <w:numId w:val="40"/>
        </w:numPr>
        <w:jc w:val="both"/>
        <w:rPr>
          <w:rFonts w:ascii="Verdana" w:hAnsi="Verdana"/>
        </w:rPr>
      </w:pPr>
      <w:r w:rsidRPr="00485619">
        <w:rPr>
          <w:rFonts w:ascii="Verdana" w:hAnsi="Verdana"/>
        </w:rPr>
        <w:t>Tribunal Servicio Civil</w:t>
      </w:r>
    </w:p>
    <w:p w14:paraId="3F1E4A69" w14:textId="77777777" w:rsidR="0020704C" w:rsidRPr="00485619" w:rsidRDefault="0020704C" w:rsidP="00485619">
      <w:pPr>
        <w:spacing w:after="0" w:line="240" w:lineRule="auto"/>
        <w:jc w:val="both"/>
        <w:rPr>
          <w:rFonts w:ascii="Verdana" w:eastAsia="Times New Roman" w:hAnsi="Verdana" w:cs="Times New Roman"/>
          <w:sz w:val="24"/>
          <w:szCs w:val="24"/>
          <w:highlight w:val="yellow"/>
          <w:lang w:val="es-ES" w:eastAsia="es-ES"/>
        </w:rPr>
      </w:pPr>
    </w:p>
    <w:p w14:paraId="08197C7C" w14:textId="42044707" w:rsidR="00FE7C9A" w:rsidRPr="00485619" w:rsidRDefault="000C1D3C"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Otro</w:t>
      </w:r>
      <w:r w:rsidR="006A6EA9" w:rsidRPr="00485619">
        <w:rPr>
          <w:rFonts w:ascii="Verdana" w:eastAsia="Times New Roman" w:hAnsi="Verdana" w:cs="Times New Roman"/>
          <w:sz w:val="24"/>
          <w:szCs w:val="24"/>
          <w:lang w:val="es-ES" w:eastAsia="es-ES"/>
        </w:rPr>
        <w:t xml:space="preserve"> ítem relacionado con esta temática es el sistema de clasificación utilizado a niv</w:t>
      </w:r>
      <w:r w:rsidR="007574B5" w:rsidRPr="00485619">
        <w:rPr>
          <w:rFonts w:ascii="Verdana" w:eastAsia="Times New Roman" w:hAnsi="Verdana" w:cs="Times New Roman"/>
          <w:sz w:val="24"/>
          <w:szCs w:val="24"/>
          <w:lang w:val="es-ES" w:eastAsia="es-ES"/>
        </w:rPr>
        <w:t xml:space="preserve">el institucional, por lo </w:t>
      </w:r>
      <w:r w:rsidR="00D81F07" w:rsidRPr="00485619">
        <w:rPr>
          <w:rFonts w:ascii="Verdana" w:eastAsia="Times New Roman" w:hAnsi="Verdana" w:cs="Times New Roman"/>
          <w:sz w:val="24"/>
          <w:szCs w:val="24"/>
          <w:lang w:val="es-ES" w:eastAsia="es-ES"/>
        </w:rPr>
        <w:t>que presenta el siguiente gráfico</w:t>
      </w:r>
      <w:r w:rsidR="007574B5" w:rsidRPr="00485619">
        <w:rPr>
          <w:rFonts w:ascii="Verdana" w:eastAsia="Times New Roman" w:hAnsi="Verdana" w:cs="Times New Roman"/>
          <w:sz w:val="24"/>
          <w:szCs w:val="24"/>
          <w:lang w:val="es-ES" w:eastAsia="es-ES"/>
        </w:rPr>
        <w:t xml:space="preserve">: </w:t>
      </w:r>
    </w:p>
    <w:p w14:paraId="54C94875" w14:textId="77777777" w:rsidR="00CA4F49" w:rsidRPr="00485619" w:rsidRDefault="00CA4F49" w:rsidP="00485619">
      <w:pPr>
        <w:spacing w:after="0" w:line="240" w:lineRule="auto"/>
        <w:jc w:val="both"/>
        <w:rPr>
          <w:rFonts w:ascii="Verdana" w:eastAsia="Times New Roman" w:hAnsi="Verdana" w:cs="Times New Roman"/>
          <w:sz w:val="24"/>
          <w:szCs w:val="24"/>
          <w:lang w:val="es-ES" w:eastAsia="es-ES"/>
        </w:rPr>
      </w:pPr>
    </w:p>
    <w:p w14:paraId="48ED9F2C" w14:textId="77777777" w:rsidR="00CA4F49" w:rsidRPr="00485619" w:rsidRDefault="00CA4F49" w:rsidP="00485619">
      <w:pPr>
        <w:spacing w:after="0" w:line="240" w:lineRule="auto"/>
        <w:jc w:val="both"/>
        <w:rPr>
          <w:rFonts w:ascii="Verdana" w:eastAsia="Times New Roman" w:hAnsi="Verdana" w:cs="Times New Roman"/>
          <w:sz w:val="24"/>
          <w:szCs w:val="24"/>
          <w:lang w:val="es-ES" w:eastAsia="es-ES"/>
        </w:rPr>
      </w:pPr>
    </w:p>
    <w:p w14:paraId="27982193" w14:textId="3E9D7992" w:rsidR="00621D3B" w:rsidRPr="00485619" w:rsidRDefault="00187BFA" w:rsidP="00ED16F5">
      <w:pPr>
        <w:spacing w:after="0" w:line="240" w:lineRule="auto"/>
        <w:jc w:val="center"/>
        <w:rPr>
          <w:rFonts w:ascii="Verdana" w:eastAsia="Times New Roman" w:hAnsi="Verdana" w:cs="Times New Roman"/>
          <w:sz w:val="24"/>
          <w:szCs w:val="24"/>
          <w:lang w:val="es-ES" w:eastAsia="es-ES"/>
        </w:rPr>
      </w:pPr>
      <w:r w:rsidRPr="00485619">
        <w:rPr>
          <w:rFonts w:ascii="Verdana" w:hAnsi="Verdana"/>
          <w:noProof/>
          <w:sz w:val="24"/>
          <w:szCs w:val="24"/>
          <w:lang w:val="es-ES" w:eastAsia="es-ES"/>
        </w:rPr>
        <w:drawing>
          <wp:inline distT="0" distB="0" distL="0" distR="0" wp14:anchorId="60FCCD0B" wp14:editId="554E79A4">
            <wp:extent cx="5010150" cy="324802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4CC7B1"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En cuanto a la ordenación documental, </w:t>
      </w:r>
      <w:r w:rsidR="00F75833" w:rsidRPr="00485619">
        <w:rPr>
          <w:rFonts w:ascii="Verdana" w:eastAsia="Times New Roman" w:hAnsi="Verdana" w:cs="Times New Roman"/>
          <w:sz w:val="24"/>
          <w:szCs w:val="24"/>
          <w:lang w:val="es-ES" w:eastAsia="es-ES"/>
        </w:rPr>
        <w:t>89 (93,3%)</w:t>
      </w:r>
      <w:r w:rsidRPr="00485619">
        <w:rPr>
          <w:rFonts w:ascii="Verdana" w:eastAsia="Times New Roman" w:hAnsi="Verdana" w:cs="Times New Roman"/>
          <w:sz w:val="24"/>
          <w:szCs w:val="24"/>
          <w:lang w:val="es-ES" w:eastAsia="es-ES"/>
        </w:rPr>
        <w:t xml:space="preserve"> instituciones mencionaron utilizar métodos de ordenación normalizados total o </w:t>
      </w:r>
      <w:r w:rsidR="009B6B56" w:rsidRPr="00485619">
        <w:rPr>
          <w:rFonts w:ascii="Verdana" w:eastAsia="Times New Roman" w:hAnsi="Verdana" w:cs="Times New Roman"/>
          <w:sz w:val="24"/>
          <w:szCs w:val="24"/>
          <w:lang w:val="es-ES" w:eastAsia="es-ES"/>
        </w:rPr>
        <w:t xml:space="preserve">parcial a nivel institucional, </w:t>
      </w:r>
      <w:r w:rsidR="00F75833" w:rsidRPr="00485619">
        <w:rPr>
          <w:rFonts w:ascii="Verdana" w:eastAsia="Times New Roman" w:hAnsi="Verdana" w:cs="Times New Roman"/>
          <w:sz w:val="24"/>
          <w:szCs w:val="24"/>
          <w:lang w:val="es-ES" w:eastAsia="es-ES"/>
        </w:rPr>
        <w:t>7 (5,9%)</w:t>
      </w:r>
      <w:r w:rsidRPr="00485619">
        <w:rPr>
          <w:rFonts w:ascii="Verdana" w:eastAsia="Times New Roman" w:hAnsi="Verdana" w:cs="Times New Roman"/>
          <w:sz w:val="24"/>
          <w:szCs w:val="24"/>
          <w:lang w:val="es-ES" w:eastAsia="es-ES"/>
        </w:rPr>
        <w:t xml:space="preserve"> </w:t>
      </w:r>
      <w:r w:rsidR="00D350A6" w:rsidRPr="00485619">
        <w:rPr>
          <w:rFonts w:ascii="Verdana" w:eastAsia="Times New Roman" w:hAnsi="Verdana" w:cs="Times New Roman"/>
          <w:sz w:val="24"/>
          <w:szCs w:val="24"/>
          <w:lang w:val="es-ES" w:eastAsia="es-ES"/>
        </w:rPr>
        <w:t>especificaron</w:t>
      </w:r>
      <w:r w:rsidRPr="00485619">
        <w:rPr>
          <w:rFonts w:ascii="Verdana" w:eastAsia="Times New Roman" w:hAnsi="Verdana" w:cs="Times New Roman"/>
          <w:sz w:val="24"/>
          <w:szCs w:val="24"/>
          <w:lang w:val="es-ES" w:eastAsia="es-ES"/>
        </w:rPr>
        <w:t xml:space="preserve"> no utilizar ninguno</w:t>
      </w:r>
      <w:r w:rsidR="00F75833" w:rsidRPr="00485619">
        <w:rPr>
          <w:rFonts w:ascii="Verdana" w:eastAsia="Times New Roman" w:hAnsi="Verdana" w:cs="Times New Roman"/>
          <w:sz w:val="24"/>
          <w:szCs w:val="24"/>
          <w:lang w:val="es-ES" w:eastAsia="es-ES"/>
        </w:rPr>
        <w:t xml:space="preserve"> y 1 institución  no contestó</w:t>
      </w:r>
    </w:p>
    <w:p w14:paraId="0DF56625" w14:textId="77777777" w:rsidR="00433124" w:rsidRPr="00485619" w:rsidRDefault="00433124" w:rsidP="00485619">
      <w:pPr>
        <w:jc w:val="both"/>
        <w:rPr>
          <w:rFonts w:ascii="Verdana" w:eastAsia="Times New Roman" w:hAnsi="Verdana" w:cs="Times New Roman"/>
          <w:b/>
          <w:bCs/>
          <w:sz w:val="24"/>
          <w:szCs w:val="24"/>
          <w:highlight w:val="yellow"/>
          <w:lang w:val="es-ES" w:eastAsia="es-ES"/>
        </w:rPr>
      </w:pPr>
    </w:p>
    <w:p w14:paraId="73ADB5C7" w14:textId="77777777" w:rsidR="006A6EA9" w:rsidRPr="00485619" w:rsidRDefault="006A6EA9" w:rsidP="00485619">
      <w:pPr>
        <w:pStyle w:val="Ttulo3"/>
        <w:jc w:val="both"/>
        <w:rPr>
          <w:sz w:val="24"/>
        </w:rPr>
      </w:pPr>
      <w:bookmarkStart w:id="11" w:name="_Toc444697508"/>
      <w:r w:rsidRPr="00485619">
        <w:rPr>
          <w:sz w:val="24"/>
        </w:rPr>
        <w:t>2.3 Descripción documental</w:t>
      </w:r>
      <w:bookmarkEnd w:id="11"/>
    </w:p>
    <w:p w14:paraId="6A23773F"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6DA291B6" w14:textId="11106296"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Del total</w:t>
      </w:r>
      <w:r w:rsidR="00DC6763" w:rsidRPr="00485619">
        <w:rPr>
          <w:rFonts w:ascii="Verdana" w:eastAsia="Times New Roman" w:hAnsi="Verdana" w:cs="Times New Roman"/>
          <w:sz w:val="24"/>
          <w:szCs w:val="24"/>
          <w:lang w:val="es-ES" w:eastAsia="es-ES"/>
        </w:rPr>
        <w:t xml:space="preserve"> de insti</w:t>
      </w:r>
      <w:r w:rsidR="00E51F5B" w:rsidRPr="00485619">
        <w:rPr>
          <w:rFonts w:ascii="Verdana" w:eastAsia="Times New Roman" w:hAnsi="Verdana" w:cs="Times New Roman"/>
          <w:sz w:val="24"/>
          <w:szCs w:val="24"/>
          <w:lang w:val="es-ES" w:eastAsia="es-ES"/>
        </w:rPr>
        <w:t xml:space="preserve">tuciones analizadas, </w:t>
      </w:r>
      <w:r w:rsidR="000C5BE2" w:rsidRPr="00485619">
        <w:rPr>
          <w:rFonts w:ascii="Verdana" w:eastAsia="Times New Roman" w:hAnsi="Verdana" w:cs="Times New Roman"/>
          <w:sz w:val="24"/>
          <w:szCs w:val="24"/>
          <w:lang w:val="es-ES" w:eastAsia="es-ES"/>
        </w:rPr>
        <w:t>118</w:t>
      </w:r>
      <w:r w:rsidR="00E51F5B" w:rsidRPr="00485619">
        <w:rPr>
          <w:rFonts w:ascii="Verdana" w:eastAsia="Times New Roman" w:hAnsi="Verdana" w:cs="Times New Roman"/>
          <w:sz w:val="24"/>
          <w:szCs w:val="24"/>
          <w:lang w:val="es-ES" w:eastAsia="es-ES"/>
        </w:rPr>
        <w:t xml:space="preserve"> informaron</w:t>
      </w:r>
      <w:r w:rsidRPr="00485619">
        <w:rPr>
          <w:rFonts w:ascii="Verdana" w:eastAsia="Times New Roman" w:hAnsi="Verdana" w:cs="Times New Roman"/>
          <w:sz w:val="24"/>
          <w:szCs w:val="24"/>
          <w:lang w:val="es-ES" w:eastAsia="es-ES"/>
        </w:rPr>
        <w:t xml:space="preserve"> </w:t>
      </w:r>
      <w:r w:rsidR="00DC6763" w:rsidRPr="00485619">
        <w:rPr>
          <w:rFonts w:ascii="Verdana" w:eastAsia="Times New Roman" w:hAnsi="Verdana" w:cs="Times New Roman"/>
          <w:sz w:val="24"/>
          <w:szCs w:val="24"/>
          <w:lang w:val="es-ES" w:eastAsia="es-ES"/>
        </w:rPr>
        <w:t xml:space="preserve">emplear </w:t>
      </w:r>
      <w:r w:rsidR="000C5BE2" w:rsidRPr="00485619">
        <w:rPr>
          <w:rFonts w:ascii="Verdana" w:eastAsia="Times New Roman" w:hAnsi="Verdana" w:cs="Times New Roman"/>
          <w:sz w:val="24"/>
          <w:szCs w:val="24"/>
          <w:lang w:val="es-ES" w:eastAsia="es-ES"/>
        </w:rPr>
        <w:t>algún instrumento</w:t>
      </w:r>
      <w:r w:rsidR="004D0DF5" w:rsidRPr="00485619">
        <w:rPr>
          <w:rFonts w:ascii="Verdana" w:eastAsia="Times New Roman" w:hAnsi="Verdana" w:cs="Times New Roman"/>
          <w:sz w:val="24"/>
          <w:szCs w:val="24"/>
          <w:lang w:val="es-ES" w:eastAsia="es-ES"/>
        </w:rPr>
        <w:t xml:space="preserve"> de descripción. Entre ellos, se indicaron el uso de</w:t>
      </w:r>
      <w:r w:rsidRPr="00485619">
        <w:rPr>
          <w:rFonts w:ascii="Verdana" w:eastAsia="Times New Roman" w:hAnsi="Verdana" w:cs="Times New Roman"/>
          <w:sz w:val="24"/>
          <w:szCs w:val="24"/>
          <w:lang w:val="es-ES" w:eastAsia="es-ES"/>
        </w:rPr>
        <w:t>:</w:t>
      </w:r>
      <w:r w:rsidR="00DC6763" w:rsidRPr="00485619">
        <w:rPr>
          <w:rFonts w:ascii="Verdana" w:eastAsia="Times New Roman" w:hAnsi="Verdana" w:cs="Times New Roman"/>
          <w:sz w:val="24"/>
          <w:szCs w:val="24"/>
          <w:lang w:val="es-ES" w:eastAsia="es-ES"/>
        </w:rPr>
        <w:t xml:space="preserve"> </w:t>
      </w:r>
      <w:r w:rsidR="000C5BE2" w:rsidRPr="00485619">
        <w:rPr>
          <w:rFonts w:ascii="Verdana" w:eastAsia="Times New Roman" w:hAnsi="Verdana" w:cs="Times New Roman"/>
          <w:sz w:val="24"/>
          <w:szCs w:val="24"/>
          <w:lang w:val="es-ES" w:eastAsia="es-ES"/>
        </w:rPr>
        <w:t xml:space="preserve">inventarios, fichas, índices, </w:t>
      </w:r>
      <w:r w:rsidRPr="00485619">
        <w:rPr>
          <w:rFonts w:ascii="Verdana" w:eastAsia="Times New Roman" w:hAnsi="Verdana" w:cs="Times New Roman"/>
          <w:sz w:val="24"/>
          <w:szCs w:val="24"/>
          <w:lang w:val="es-ES" w:eastAsia="es-ES"/>
        </w:rPr>
        <w:t>catálogos</w:t>
      </w:r>
      <w:r w:rsidR="000C5BE2" w:rsidRPr="00485619">
        <w:rPr>
          <w:rFonts w:ascii="Verdana" w:eastAsia="Times New Roman" w:hAnsi="Verdana" w:cs="Times New Roman"/>
          <w:sz w:val="24"/>
          <w:szCs w:val="24"/>
          <w:lang w:val="es-ES" w:eastAsia="es-ES"/>
        </w:rPr>
        <w:t xml:space="preserve"> y “otros”, donde </w:t>
      </w:r>
      <w:r w:rsidR="00A94DB9" w:rsidRPr="00485619">
        <w:rPr>
          <w:rFonts w:ascii="Verdana" w:eastAsia="Times New Roman" w:hAnsi="Verdana" w:cs="Times New Roman"/>
          <w:sz w:val="24"/>
          <w:szCs w:val="24"/>
          <w:lang w:val="es-ES" w:eastAsia="es-ES"/>
        </w:rPr>
        <w:t>se especificaron</w:t>
      </w:r>
      <w:r w:rsidR="00DC6763" w:rsidRPr="00485619">
        <w:rPr>
          <w:rFonts w:ascii="Verdana" w:eastAsia="Times New Roman" w:hAnsi="Verdana" w:cs="Times New Roman"/>
          <w:sz w:val="24"/>
          <w:szCs w:val="24"/>
          <w:lang w:val="es-ES" w:eastAsia="es-ES"/>
        </w:rPr>
        <w:t xml:space="preserve"> las </w:t>
      </w:r>
      <w:r w:rsidRPr="00485619">
        <w:rPr>
          <w:rFonts w:ascii="Verdana" w:eastAsia="Times New Roman" w:hAnsi="Verdana" w:cs="Times New Roman"/>
          <w:sz w:val="24"/>
          <w:szCs w:val="24"/>
          <w:lang w:val="es-ES" w:eastAsia="es-ES"/>
        </w:rPr>
        <w:t>listas de remisión</w:t>
      </w:r>
      <w:r w:rsidR="00DC6763" w:rsidRPr="00485619">
        <w:rPr>
          <w:rFonts w:ascii="Verdana" w:eastAsia="Times New Roman" w:hAnsi="Verdana" w:cs="Times New Roman"/>
          <w:sz w:val="24"/>
          <w:szCs w:val="24"/>
          <w:lang w:val="es-ES" w:eastAsia="es-ES"/>
        </w:rPr>
        <w:t>.</w:t>
      </w:r>
    </w:p>
    <w:p w14:paraId="10BCED8E" w14:textId="77777777" w:rsidR="00A61B70" w:rsidRPr="00485619" w:rsidRDefault="00A61B70" w:rsidP="00485619">
      <w:pPr>
        <w:spacing w:after="0" w:line="240" w:lineRule="auto"/>
        <w:jc w:val="both"/>
        <w:rPr>
          <w:rFonts w:ascii="Verdana" w:eastAsia="Times New Roman" w:hAnsi="Verdana" w:cs="Times New Roman"/>
          <w:sz w:val="24"/>
          <w:szCs w:val="24"/>
          <w:highlight w:val="yellow"/>
          <w:lang w:val="es-ES" w:eastAsia="es-ES"/>
        </w:rPr>
      </w:pPr>
    </w:p>
    <w:tbl>
      <w:tblPr>
        <w:tblW w:w="6652" w:type="dxa"/>
        <w:jc w:val="center"/>
        <w:tblCellMar>
          <w:left w:w="70" w:type="dxa"/>
          <w:right w:w="70" w:type="dxa"/>
        </w:tblCellMar>
        <w:tblLook w:val="04A0" w:firstRow="1" w:lastRow="0" w:firstColumn="1" w:lastColumn="0" w:noHBand="0" w:noVBand="1"/>
      </w:tblPr>
      <w:tblGrid>
        <w:gridCol w:w="2389"/>
        <w:gridCol w:w="2279"/>
        <w:gridCol w:w="1984"/>
      </w:tblGrid>
      <w:tr w:rsidR="00A61B70" w:rsidRPr="00433124" w14:paraId="72D9086A" w14:textId="77777777" w:rsidTr="00433124">
        <w:trPr>
          <w:trHeight w:val="300"/>
          <w:jc w:val="center"/>
        </w:trPr>
        <w:tc>
          <w:tcPr>
            <w:tcW w:w="6652" w:type="dxa"/>
            <w:gridSpan w:val="3"/>
            <w:tcBorders>
              <w:top w:val="nil"/>
              <w:left w:val="nil"/>
              <w:bottom w:val="nil"/>
              <w:right w:val="nil"/>
            </w:tcBorders>
            <w:shd w:val="clear" w:color="auto" w:fill="auto"/>
            <w:noWrap/>
            <w:vAlign w:val="center"/>
            <w:hideMark/>
          </w:tcPr>
          <w:p w14:paraId="3AF20C92" w14:textId="77777777" w:rsidR="00A61B70" w:rsidRPr="00433124" w:rsidRDefault="00A94CE0" w:rsidP="00433124">
            <w:pPr>
              <w:spacing w:after="0" w:line="240" w:lineRule="auto"/>
              <w:jc w:val="center"/>
              <w:rPr>
                <w:rFonts w:ascii="Verdana" w:eastAsia="Times New Roman" w:hAnsi="Verdana" w:cs="Arial"/>
                <w:b/>
                <w:bCs/>
                <w:color w:val="000000"/>
                <w:lang w:eastAsia="es-CR"/>
              </w:rPr>
            </w:pPr>
            <w:r w:rsidRPr="00433124">
              <w:rPr>
                <w:rFonts w:ascii="Verdana" w:eastAsia="Times New Roman" w:hAnsi="Verdana" w:cs="Arial"/>
                <w:b/>
                <w:bCs/>
                <w:color w:val="000000"/>
                <w:lang w:eastAsia="es-CR"/>
              </w:rPr>
              <w:t>Cuadro 2</w:t>
            </w:r>
          </w:p>
        </w:tc>
      </w:tr>
      <w:tr w:rsidR="00A61B70" w:rsidRPr="00433124" w14:paraId="1BF4CBB7" w14:textId="77777777" w:rsidTr="00407698">
        <w:trPr>
          <w:trHeight w:val="660"/>
          <w:jc w:val="center"/>
        </w:trPr>
        <w:tc>
          <w:tcPr>
            <w:tcW w:w="6652" w:type="dxa"/>
            <w:gridSpan w:val="3"/>
            <w:tcBorders>
              <w:top w:val="nil"/>
              <w:left w:val="nil"/>
              <w:bottom w:val="single" w:sz="4" w:space="0" w:color="auto"/>
              <w:right w:val="nil"/>
            </w:tcBorders>
            <w:shd w:val="clear" w:color="auto" w:fill="auto"/>
            <w:vAlign w:val="center"/>
            <w:hideMark/>
          </w:tcPr>
          <w:p w14:paraId="0B24C060" w14:textId="77777777" w:rsidR="00A61B70" w:rsidRPr="00433124" w:rsidRDefault="00A61B70" w:rsidP="00433124">
            <w:pPr>
              <w:spacing w:after="0" w:line="240" w:lineRule="auto"/>
              <w:jc w:val="center"/>
              <w:rPr>
                <w:rFonts w:ascii="Verdana" w:eastAsia="Times New Roman" w:hAnsi="Verdana" w:cs="Arial"/>
                <w:b/>
                <w:bCs/>
                <w:color w:val="000000"/>
                <w:lang w:eastAsia="es-CR"/>
              </w:rPr>
            </w:pPr>
            <w:r w:rsidRPr="00433124">
              <w:rPr>
                <w:rFonts w:ascii="Verdana" w:eastAsia="Times New Roman" w:hAnsi="Verdana" w:cs="Arial"/>
                <w:b/>
                <w:bCs/>
                <w:color w:val="000000"/>
                <w:lang w:eastAsia="es-CR"/>
              </w:rPr>
              <w:t>Tipo de instrumentos descriptivos hay en el Archivo Central, período 2014-2015</w:t>
            </w:r>
          </w:p>
        </w:tc>
      </w:tr>
      <w:tr w:rsidR="00A61B70" w:rsidRPr="00433124" w14:paraId="307E0DC7" w14:textId="77777777" w:rsidTr="00407698">
        <w:trPr>
          <w:trHeight w:val="419"/>
          <w:jc w:val="center"/>
        </w:trPr>
        <w:tc>
          <w:tcPr>
            <w:tcW w:w="2389" w:type="dxa"/>
            <w:tcBorders>
              <w:top w:val="single" w:sz="4" w:space="0" w:color="auto"/>
              <w:left w:val="nil"/>
              <w:bottom w:val="single" w:sz="4" w:space="0" w:color="auto"/>
              <w:right w:val="nil"/>
            </w:tcBorders>
            <w:shd w:val="clear" w:color="auto" w:fill="auto"/>
            <w:vAlign w:val="center"/>
            <w:hideMark/>
          </w:tcPr>
          <w:p w14:paraId="1937DEBC" w14:textId="77777777" w:rsidR="00A61B70" w:rsidRPr="00433124" w:rsidRDefault="00A61B70" w:rsidP="00485619">
            <w:pPr>
              <w:spacing w:after="0" w:line="240" w:lineRule="auto"/>
              <w:jc w:val="both"/>
              <w:rPr>
                <w:rFonts w:ascii="Verdana" w:eastAsia="Times New Roman" w:hAnsi="Verdana" w:cs="Arial"/>
                <w:b/>
                <w:bCs/>
                <w:color w:val="000000"/>
                <w:lang w:eastAsia="es-CR"/>
              </w:rPr>
            </w:pPr>
            <w:r w:rsidRPr="00433124">
              <w:rPr>
                <w:rFonts w:ascii="Verdana" w:eastAsia="Times New Roman" w:hAnsi="Verdana" w:cs="Arial"/>
                <w:b/>
                <w:bCs/>
                <w:color w:val="000000"/>
                <w:lang w:eastAsia="es-CR"/>
              </w:rPr>
              <w:t>Tipo</w:t>
            </w:r>
          </w:p>
        </w:tc>
        <w:tc>
          <w:tcPr>
            <w:tcW w:w="2279" w:type="dxa"/>
            <w:tcBorders>
              <w:top w:val="single" w:sz="4" w:space="0" w:color="auto"/>
              <w:left w:val="nil"/>
              <w:bottom w:val="single" w:sz="4" w:space="0" w:color="auto"/>
              <w:right w:val="nil"/>
            </w:tcBorders>
            <w:shd w:val="clear" w:color="auto" w:fill="auto"/>
            <w:vAlign w:val="center"/>
            <w:hideMark/>
          </w:tcPr>
          <w:p w14:paraId="0F688F11" w14:textId="77777777" w:rsidR="00A61B70" w:rsidRPr="00433124" w:rsidRDefault="00A61B70" w:rsidP="00485619">
            <w:pPr>
              <w:spacing w:after="0" w:line="240" w:lineRule="auto"/>
              <w:jc w:val="both"/>
              <w:rPr>
                <w:rFonts w:ascii="Verdana" w:eastAsia="Times New Roman" w:hAnsi="Verdana" w:cs="Arial"/>
                <w:b/>
                <w:bCs/>
                <w:color w:val="000000"/>
                <w:lang w:eastAsia="es-CR"/>
              </w:rPr>
            </w:pPr>
            <w:r w:rsidRPr="00433124">
              <w:rPr>
                <w:rFonts w:ascii="Verdana" w:eastAsia="Times New Roman" w:hAnsi="Verdana" w:cs="Arial"/>
                <w:b/>
                <w:bCs/>
                <w:color w:val="000000"/>
                <w:lang w:eastAsia="es-CR"/>
              </w:rPr>
              <w:t>Numero de respuestas</w:t>
            </w:r>
          </w:p>
        </w:tc>
        <w:tc>
          <w:tcPr>
            <w:tcW w:w="1984" w:type="dxa"/>
            <w:tcBorders>
              <w:top w:val="single" w:sz="4" w:space="0" w:color="auto"/>
              <w:left w:val="nil"/>
              <w:bottom w:val="single" w:sz="4" w:space="0" w:color="auto"/>
              <w:right w:val="nil"/>
            </w:tcBorders>
            <w:shd w:val="clear" w:color="auto" w:fill="auto"/>
            <w:vAlign w:val="center"/>
            <w:hideMark/>
          </w:tcPr>
          <w:p w14:paraId="39453E91" w14:textId="77777777" w:rsidR="00A61B70" w:rsidRPr="00433124" w:rsidRDefault="00A61B70" w:rsidP="00485619">
            <w:pPr>
              <w:spacing w:after="0" w:line="240" w:lineRule="auto"/>
              <w:jc w:val="both"/>
              <w:rPr>
                <w:rFonts w:ascii="Verdana" w:eastAsia="Times New Roman" w:hAnsi="Verdana" w:cs="Arial"/>
                <w:b/>
                <w:bCs/>
                <w:color w:val="000000"/>
                <w:lang w:eastAsia="es-CR"/>
              </w:rPr>
            </w:pPr>
            <w:r w:rsidRPr="00433124">
              <w:rPr>
                <w:rFonts w:ascii="Verdana" w:eastAsia="Times New Roman" w:hAnsi="Verdana" w:cs="Arial"/>
                <w:b/>
                <w:bCs/>
                <w:color w:val="000000"/>
                <w:lang w:eastAsia="es-CR"/>
              </w:rPr>
              <w:t>Porcentaje de casos</w:t>
            </w:r>
          </w:p>
        </w:tc>
      </w:tr>
      <w:tr w:rsidR="00407698" w:rsidRPr="00433124" w14:paraId="1B310FAE" w14:textId="77777777" w:rsidTr="00407698">
        <w:trPr>
          <w:trHeight w:val="315"/>
          <w:jc w:val="center"/>
        </w:trPr>
        <w:tc>
          <w:tcPr>
            <w:tcW w:w="2389" w:type="dxa"/>
            <w:tcBorders>
              <w:top w:val="single" w:sz="4" w:space="0" w:color="auto"/>
              <w:left w:val="nil"/>
              <w:right w:val="nil"/>
            </w:tcBorders>
            <w:shd w:val="clear" w:color="auto" w:fill="auto"/>
            <w:noWrap/>
            <w:vAlign w:val="bottom"/>
            <w:hideMark/>
          </w:tcPr>
          <w:p w14:paraId="2FBD02FA"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Catálogos</w:t>
            </w:r>
          </w:p>
        </w:tc>
        <w:tc>
          <w:tcPr>
            <w:tcW w:w="2279" w:type="dxa"/>
            <w:tcBorders>
              <w:top w:val="single" w:sz="4" w:space="0" w:color="auto"/>
              <w:left w:val="nil"/>
              <w:right w:val="nil"/>
            </w:tcBorders>
            <w:shd w:val="clear" w:color="auto" w:fill="auto"/>
            <w:noWrap/>
            <w:vAlign w:val="bottom"/>
            <w:hideMark/>
          </w:tcPr>
          <w:p w14:paraId="0127FAEE"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4</w:t>
            </w:r>
          </w:p>
        </w:tc>
        <w:tc>
          <w:tcPr>
            <w:tcW w:w="1984" w:type="dxa"/>
            <w:tcBorders>
              <w:top w:val="single" w:sz="4" w:space="0" w:color="auto"/>
              <w:left w:val="nil"/>
              <w:right w:val="nil"/>
            </w:tcBorders>
            <w:shd w:val="clear" w:color="auto" w:fill="auto"/>
            <w:noWrap/>
            <w:vAlign w:val="bottom"/>
            <w:hideMark/>
          </w:tcPr>
          <w:p w14:paraId="75D22DB9"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3,4</w:t>
            </w:r>
          </w:p>
        </w:tc>
      </w:tr>
      <w:tr w:rsidR="00407698" w:rsidRPr="00433124" w14:paraId="33BFF7A7" w14:textId="77777777" w:rsidTr="00407698">
        <w:trPr>
          <w:trHeight w:val="300"/>
          <w:jc w:val="center"/>
        </w:trPr>
        <w:tc>
          <w:tcPr>
            <w:tcW w:w="2389" w:type="dxa"/>
            <w:tcBorders>
              <w:left w:val="nil"/>
              <w:bottom w:val="nil"/>
              <w:right w:val="nil"/>
            </w:tcBorders>
            <w:shd w:val="clear" w:color="auto" w:fill="auto"/>
            <w:noWrap/>
            <w:vAlign w:val="bottom"/>
            <w:hideMark/>
          </w:tcPr>
          <w:p w14:paraId="4433380A"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Fichas</w:t>
            </w:r>
          </w:p>
        </w:tc>
        <w:tc>
          <w:tcPr>
            <w:tcW w:w="2279" w:type="dxa"/>
            <w:tcBorders>
              <w:left w:val="nil"/>
              <w:bottom w:val="nil"/>
              <w:right w:val="nil"/>
            </w:tcBorders>
            <w:shd w:val="clear" w:color="auto" w:fill="auto"/>
            <w:noWrap/>
            <w:vAlign w:val="bottom"/>
            <w:hideMark/>
          </w:tcPr>
          <w:p w14:paraId="7BF9A974"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16</w:t>
            </w:r>
          </w:p>
        </w:tc>
        <w:tc>
          <w:tcPr>
            <w:tcW w:w="1984" w:type="dxa"/>
            <w:tcBorders>
              <w:left w:val="nil"/>
              <w:bottom w:val="nil"/>
              <w:right w:val="nil"/>
            </w:tcBorders>
            <w:shd w:val="clear" w:color="auto" w:fill="auto"/>
            <w:noWrap/>
            <w:vAlign w:val="bottom"/>
            <w:hideMark/>
          </w:tcPr>
          <w:p w14:paraId="33E6AE78"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13,4</w:t>
            </w:r>
          </w:p>
        </w:tc>
      </w:tr>
      <w:tr w:rsidR="00407698" w:rsidRPr="00433124" w14:paraId="5C3933E7" w14:textId="77777777" w:rsidTr="00433124">
        <w:trPr>
          <w:trHeight w:val="300"/>
          <w:jc w:val="center"/>
        </w:trPr>
        <w:tc>
          <w:tcPr>
            <w:tcW w:w="2389" w:type="dxa"/>
            <w:tcBorders>
              <w:top w:val="nil"/>
              <w:left w:val="nil"/>
              <w:bottom w:val="nil"/>
              <w:right w:val="nil"/>
            </w:tcBorders>
            <w:shd w:val="clear" w:color="auto" w:fill="auto"/>
            <w:noWrap/>
            <w:vAlign w:val="bottom"/>
            <w:hideMark/>
          </w:tcPr>
          <w:p w14:paraId="668C9523"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Índices</w:t>
            </w:r>
          </w:p>
        </w:tc>
        <w:tc>
          <w:tcPr>
            <w:tcW w:w="2279" w:type="dxa"/>
            <w:tcBorders>
              <w:top w:val="nil"/>
              <w:left w:val="nil"/>
              <w:bottom w:val="nil"/>
              <w:right w:val="nil"/>
            </w:tcBorders>
            <w:shd w:val="clear" w:color="auto" w:fill="auto"/>
            <w:noWrap/>
            <w:vAlign w:val="bottom"/>
            <w:hideMark/>
          </w:tcPr>
          <w:p w14:paraId="3A4246E4"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5</w:t>
            </w:r>
          </w:p>
        </w:tc>
        <w:tc>
          <w:tcPr>
            <w:tcW w:w="1984" w:type="dxa"/>
            <w:tcBorders>
              <w:top w:val="nil"/>
              <w:left w:val="nil"/>
              <w:bottom w:val="nil"/>
              <w:right w:val="nil"/>
            </w:tcBorders>
            <w:shd w:val="clear" w:color="auto" w:fill="auto"/>
            <w:noWrap/>
            <w:vAlign w:val="bottom"/>
            <w:hideMark/>
          </w:tcPr>
          <w:p w14:paraId="1BA6773E"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4,2</w:t>
            </w:r>
          </w:p>
        </w:tc>
      </w:tr>
      <w:tr w:rsidR="00407698" w:rsidRPr="00433124" w14:paraId="4E41A29B" w14:textId="77777777" w:rsidTr="00433124">
        <w:trPr>
          <w:trHeight w:val="300"/>
          <w:jc w:val="center"/>
        </w:trPr>
        <w:tc>
          <w:tcPr>
            <w:tcW w:w="2389" w:type="dxa"/>
            <w:tcBorders>
              <w:top w:val="nil"/>
              <w:left w:val="nil"/>
              <w:bottom w:val="nil"/>
              <w:right w:val="nil"/>
            </w:tcBorders>
            <w:shd w:val="clear" w:color="auto" w:fill="auto"/>
            <w:noWrap/>
            <w:vAlign w:val="bottom"/>
            <w:hideMark/>
          </w:tcPr>
          <w:p w14:paraId="19890F78"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Inventarios</w:t>
            </w:r>
          </w:p>
        </w:tc>
        <w:tc>
          <w:tcPr>
            <w:tcW w:w="2279" w:type="dxa"/>
            <w:tcBorders>
              <w:top w:val="nil"/>
              <w:left w:val="nil"/>
              <w:bottom w:val="nil"/>
              <w:right w:val="nil"/>
            </w:tcBorders>
            <w:shd w:val="clear" w:color="auto" w:fill="auto"/>
            <w:noWrap/>
            <w:vAlign w:val="bottom"/>
            <w:hideMark/>
          </w:tcPr>
          <w:p w14:paraId="3A232D4F"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94</w:t>
            </w:r>
          </w:p>
        </w:tc>
        <w:tc>
          <w:tcPr>
            <w:tcW w:w="1984" w:type="dxa"/>
            <w:tcBorders>
              <w:top w:val="nil"/>
              <w:left w:val="nil"/>
              <w:bottom w:val="nil"/>
              <w:right w:val="nil"/>
            </w:tcBorders>
            <w:shd w:val="clear" w:color="auto" w:fill="auto"/>
            <w:noWrap/>
            <w:vAlign w:val="bottom"/>
            <w:hideMark/>
          </w:tcPr>
          <w:p w14:paraId="728E0ACF"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79,0</w:t>
            </w:r>
          </w:p>
        </w:tc>
      </w:tr>
      <w:tr w:rsidR="00407698" w:rsidRPr="00433124" w14:paraId="11BEE361" w14:textId="77777777" w:rsidTr="00433124">
        <w:trPr>
          <w:trHeight w:val="300"/>
          <w:jc w:val="center"/>
        </w:trPr>
        <w:tc>
          <w:tcPr>
            <w:tcW w:w="2389" w:type="dxa"/>
            <w:tcBorders>
              <w:top w:val="nil"/>
              <w:left w:val="nil"/>
              <w:bottom w:val="nil"/>
              <w:right w:val="nil"/>
            </w:tcBorders>
            <w:shd w:val="clear" w:color="auto" w:fill="auto"/>
            <w:noWrap/>
            <w:vAlign w:val="bottom"/>
            <w:hideMark/>
          </w:tcPr>
          <w:p w14:paraId="4707F471"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Otros</w:t>
            </w:r>
          </w:p>
        </w:tc>
        <w:tc>
          <w:tcPr>
            <w:tcW w:w="2279" w:type="dxa"/>
            <w:tcBorders>
              <w:top w:val="nil"/>
              <w:left w:val="nil"/>
              <w:bottom w:val="nil"/>
              <w:right w:val="nil"/>
            </w:tcBorders>
            <w:shd w:val="clear" w:color="auto" w:fill="auto"/>
            <w:noWrap/>
            <w:vAlign w:val="bottom"/>
            <w:hideMark/>
          </w:tcPr>
          <w:p w14:paraId="17396E9E"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86</w:t>
            </w:r>
          </w:p>
        </w:tc>
        <w:tc>
          <w:tcPr>
            <w:tcW w:w="1984" w:type="dxa"/>
            <w:tcBorders>
              <w:top w:val="nil"/>
              <w:left w:val="nil"/>
              <w:bottom w:val="nil"/>
              <w:right w:val="nil"/>
            </w:tcBorders>
            <w:shd w:val="clear" w:color="auto" w:fill="auto"/>
            <w:noWrap/>
            <w:vAlign w:val="bottom"/>
            <w:hideMark/>
          </w:tcPr>
          <w:p w14:paraId="11555587" w14:textId="77777777" w:rsidR="00407698" w:rsidRPr="00433124" w:rsidRDefault="00407698" w:rsidP="00485619">
            <w:pPr>
              <w:spacing w:after="0" w:line="240" w:lineRule="auto"/>
              <w:jc w:val="both"/>
              <w:rPr>
                <w:rFonts w:ascii="Verdana" w:eastAsia="Times New Roman" w:hAnsi="Verdana" w:cs="Arial"/>
                <w:lang w:eastAsia="es-CR"/>
              </w:rPr>
            </w:pPr>
            <w:r w:rsidRPr="00433124">
              <w:rPr>
                <w:rFonts w:ascii="Verdana" w:eastAsia="Times New Roman" w:hAnsi="Verdana" w:cs="Arial"/>
                <w:lang w:eastAsia="es-CR"/>
              </w:rPr>
              <w:t>72,3</w:t>
            </w:r>
          </w:p>
        </w:tc>
      </w:tr>
      <w:tr w:rsidR="00A61B70" w:rsidRPr="00433124" w14:paraId="44ADEA3D" w14:textId="77777777" w:rsidTr="00433124">
        <w:trPr>
          <w:trHeight w:val="446"/>
          <w:jc w:val="center"/>
        </w:trPr>
        <w:tc>
          <w:tcPr>
            <w:tcW w:w="6652" w:type="dxa"/>
            <w:gridSpan w:val="3"/>
            <w:tcBorders>
              <w:top w:val="single" w:sz="8" w:space="0" w:color="auto"/>
              <w:left w:val="nil"/>
              <w:bottom w:val="nil"/>
              <w:right w:val="nil"/>
            </w:tcBorders>
            <w:shd w:val="clear" w:color="auto" w:fill="auto"/>
            <w:vAlign w:val="center"/>
            <w:hideMark/>
          </w:tcPr>
          <w:p w14:paraId="52A5FB7E" w14:textId="77777777" w:rsidR="00A61B70" w:rsidRPr="00433124" w:rsidRDefault="00A61B70" w:rsidP="00433124">
            <w:pPr>
              <w:spacing w:after="0" w:line="240" w:lineRule="auto"/>
              <w:jc w:val="center"/>
              <w:rPr>
                <w:rFonts w:ascii="Verdana" w:eastAsia="Times New Roman" w:hAnsi="Verdana" w:cs="Arial"/>
                <w:color w:val="000000"/>
                <w:sz w:val="16"/>
                <w:szCs w:val="16"/>
                <w:lang w:eastAsia="es-CR"/>
              </w:rPr>
            </w:pPr>
            <w:r w:rsidRPr="00433124">
              <w:rPr>
                <w:rFonts w:ascii="Verdana" w:eastAsia="Times New Roman" w:hAnsi="Verdana" w:cs="Arial"/>
                <w:color w:val="000000"/>
                <w:sz w:val="16"/>
                <w:szCs w:val="16"/>
                <w:lang w:eastAsia="es-CR"/>
              </w:rPr>
              <w:t>Nota</w:t>
            </w:r>
            <w:r w:rsidR="00A94CE0" w:rsidRPr="00433124">
              <w:rPr>
                <w:rFonts w:ascii="Verdana" w:eastAsia="Times New Roman" w:hAnsi="Verdana" w:cs="Arial"/>
                <w:color w:val="000000"/>
                <w:sz w:val="16"/>
                <w:szCs w:val="16"/>
                <w:lang w:eastAsia="es-CR"/>
              </w:rPr>
              <w:t xml:space="preserve"> 1</w:t>
            </w:r>
            <w:r w:rsidRPr="00433124">
              <w:rPr>
                <w:rFonts w:ascii="Verdana" w:eastAsia="Times New Roman" w:hAnsi="Verdana" w:cs="Arial"/>
                <w:color w:val="000000"/>
                <w:sz w:val="16"/>
                <w:szCs w:val="16"/>
                <w:lang w:eastAsia="es-CR"/>
              </w:rPr>
              <w:t xml:space="preserve">: Una institución puede emplear más de un tipo de instrumento </w:t>
            </w:r>
          </w:p>
        </w:tc>
      </w:tr>
      <w:tr w:rsidR="00A61B70" w:rsidRPr="00433124" w14:paraId="1D5A99B1" w14:textId="77777777" w:rsidTr="00433124">
        <w:trPr>
          <w:trHeight w:val="80"/>
          <w:jc w:val="center"/>
        </w:trPr>
        <w:tc>
          <w:tcPr>
            <w:tcW w:w="6652" w:type="dxa"/>
            <w:gridSpan w:val="3"/>
            <w:tcBorders>
              <w:top w:val="nil"/>
              <w:left w:val="nil"/>
              <w:bottom w:val="single" w:sz="4" w:space="0" w:color="auto"/>
              <w:right w:val="nil"/>
            </w:tcBorders>
            <w:shd w:val="clear" w:color="auto" w:fill="auto"/>
            <w:vAlign w:val="center"/>
            <w:hideMark/>
          </w:tcPr>
          <w:p w14:paraId="5EFFFB5A" w14:textId="77777777" w:rsidR="00A61B70" w:rsidRPr="00433124" w:rsidRDefault="00A61B70" w:rsidP="00433124">
            <w:pPr>
              <w:spacing w:after="0" w:line="240" w:lineRule="auto"/>
              <w:jc w:val="center"/>
              <w:rPr>
                <w:rFonts w:ascii="Verdana" w:eastAsia="Times New Roman" w:hAnsi="Verdana" w:cs="Arial"/>
                <w:color w:val="000000"/>
                <w:sz w:val="16"/>
                <w:szCs w:val="16"/>
                <w:lang w:eastAsia="es-CR"/>
              </w:rPr>
            </w:pPr>
            <w:r w:rsidRPr="00433124">
              <w:rPr>
                <w:rFonts w:ascii="Verdana" w:eastAsia="Times New Roman" w:hAnsi="Verdana" w:cs="Arial"/>
                <w:color w:val="000000"/>
                <w:sz w:val="16"/>
                <w:szCs w:val="16"/>
                <w:lang w:eastAsia="es-CR"/>
              </w:rPr>
              <w:t>Nota 2: En la categoría otros se encuentra principalmente "Listas de remisión"</w:t>
            </w:r>
          </w:p>
        </w:tc>
      </w:tr>
    </w:tbl>
    <w:p w14:paraId="146488D5" w14:textId="77777777" w:rsidR="00A215A9" w:rsidRDefault="00A215A9" w:rsidP="00485619">
      <w:pPr>
        <w:spacing w:after="0" w:line="240" w:lineRule="auto"/>
        <w:jc w:val="both"/>
        <w:rPr>
          <w:rFonts w:ascii="Verdana" w:eastAsia="Times New Roman" w:hAnsi="Verdana" w:cs="Times New Roman"/>
          <w:sz w:val="24"/>
          <w:szCs w:val="24"/>
          <w:lang w:val="es-ES" w:eastAsia="es-ES"/>
        </w:rPr>
      </w:pPr>
    </w:p>
    <w:p w14:paraId="2D6A957D" w14:textId="3F962B69" w:rsidR="002613F5" w:rsidRPr="00485619" w:rsidRDefault="00DC2452"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Asimismo, 25</w:t>
      </w:r>
      <w:r w:rsidR="006A6EA9" w:rsidRPr="00485619">
        <w:rPr>
          <w:rFonts w:ascii="Verdana" w:eastAsia="Times New Roman" w:hAnsi="Verdana" w:cs="Times New Roman"/>
          <w:sz w:val="24"/>
          <w:szCs w:val="24"/>
          <w:lang w:val="es-ES" w:eastAsia="es-ES"/>
        </w:rPr>
        <w:t xml:space="preserve"> entida</w:t>
      </w:r>
      <w:r w:rsidRPr="00485619">
        <w:rPr>
          <w:rFonts w:ascii="Verdana" w:eastAsia="Times New Roman" w:hAnsi="Verdana" w:cs="Times New Roman"/>
          <w:sz w:val="24"/>
          <w:szCs w:val="24"/>
          <w:lang w:val="es-ES" w:eastAsia="es-ES"/>
        </w:rPr>
        <w:t>des manifestaron contar con el 10</w:t>
      </w:r>
      <w:r w:rsidR="006A6EA9" w:rsidRPr="00485619">
        <w:rPr>
          <w:rFonts w:ascii="Verdana" w:eastAsia="Times New Roman" w:hAnsi="Verdana" w:cs="Times New Roman"/>
          <w:sz w:val="24"/>
          <w:szCs w:val="24"/>
          <w:lang w:val="es-ES" w:eastAsia="es-ES"/>
        </w:rPr>
        <w:t xml:space="preserve">0% </w:t>
      </w:r>
      <w:r w:rsidRPr="00485619">
        <w:rPr>
          <w:rFonts w:ascii="Verdana" w:eastAsia="Times New Roman" w:hAnsi="Verdana" w:cs="Times New Roman"/>
          <w:sz w:val="24"/>
          <w:szCs w:val="24"/>
          <w:lang w:val="es-ES" w:eastAsia="es-ES"/>
        </w:rPr>
        <w:t>del</w:t>
      </w:r>
      <w:r w:rsidR="00FB15D1" w:rsidRPr="00485619">
        <w:rPr>
          <w:rFonts w:ascii="Verdana" w:eastAsia="Times New Roman" w:hAnsi="Verdana" w:cs="Times New Roman"/>
          <w:sz w:val="24"/>
          <w:szCs w:val="24"/>
          <w:lang w:val="es-ES" w:eastAsia="es-ES"/>
        </w:rPr>
        <w:t xml:space="preserve"> acervo documental descrito, 65 </w:t>
      </w:r>
      <w:r w:rsidRPr="00485619">
        <w:rPr>
          <w:rFonts w:ascii="Verdana" w:eastAsia="Times New Roman" w:hAnsi="Verdana" w:cs="Times New Roman"/>
          <w:sz w:val="24"/>
          <w:szCs w:val="24"/>
          <w:lang w:val="es-ES" w:eastAsia="es-ES"/>
        </w:rPr>
        <w:t xml:space="preserve">instituciones cuenta con </w:t>
      </w:r>
      <w:r w:rsidR="00FB15D1" w:rsidRPr="00485619">
        <w:rPr>
          <w:rFonts w:ascii="Verdana" w:eastAsia="Times New Roman" w:hAnsi="Verdana" w:cs="Times New Roman"/>
          <w:sz w:val="24"/>
          <w:szCs w:val="24"/>
          <w:lang w:val="es-ES" w:eastAsia="es-ES"/>
        </w:rPr>
        <w:t>entre el</w:t>
      </w:r>
      <w:r w:rsidRPr="00485619">
        <w:rPr>
          <w:rFonts w:ascii="Verdana" w:eastAsia="Times New Roman" w:hAnsi="Verdana" w:cs="Times New Roman"/>
          <w:sz w:val="24"/>
          <w:szCs w:val="24"/>
          <w:lang w:val="es-ES" w:eastAsia="es-ES"/>
        </w:rPr>
        <w:t xml:space="preserve"> 50% </w:t>
      </w:r>
      <w:r w:rsidR="00FB15D1" w:rsidRPr="00485619">
        <w:rPr>
          <w:rFonts w:ascii="Verdana" w:eastAsia="Times New Roman" w:hAnsi="Verdana" w:cs="Times New Roman"/>
          <w:sz w:val="24"/>
          <w:szCs w:val="24"/>
          <w:lang w:val="es-ES" w:eastAsia="es-ES"/>
        </w:rPr>
        <w:t>y el</w:t>
      </w:r>
      <w:r w:rsidRPr="00485619">
        <w:rPr>
          <w:rFonts w:ascii="Verdana" w:eastAsia="Times New Roman" w:hAnsi="Verdana" w:cs="Times New Roman"/>
          <w:sz w:val="24"/>
          <w:szCs w:val="24"/>
          <w:lang w:val="es-ES" w:eastAsia="es-ES"/>
        </w:rPr>
        <w:t xml:space="preserve"> 9</w:t>
      </w:r>
      <w:r w:rsidR="00AB37D1" w:rsidRPr="00485619">
        <w:rPr>
          <w:rFonts w:ascii="Verdana" w:eastAsia="Times New Roman" w:hAnsi="Verdana" w:cs="Times New Roman"/>
          <w:sz w:val="24"/>
          <w:szCs w:val="24"/>
          <w:lang w:val="es-ES" w:eastAsia="es-ES"/>
        </w:rPr>
        <w:t>9</w:t>
      </w:r>
      <w:r w:rsidRPr="00485619">
        <w:rPr>
          <w:rFonts w:ascii="Verdana" w:eastAsia="Times New Roman" w:hAnsi="Verdana" w:cs="Times New Roman"/>
          <w:sz w:val="24"/>
          <w:szCs w:val="24"/>
          <w:lang w:val="es-ES" w:eastAsia="es-ES"/>
        </w:rPr>
        <w:t>%</w:t>
      </w:r>
      <w:r w:rsidR="006A6EA9"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 xml:space="preserve">descrito y </w:t>
      </w:r>
      <w:r w:rsidR="00FB15D1" w:rsidRPr="00485619">
        <w:rPr>
          <w:rFonts w:ascii="Verdana" w:eastAsia="Times New Roman" w:hAnsi="Verdana" w:cs="Times New Roman"/>
          <w:sz w:val="24"/>
          <w:szCs w:val="24"/>
          <w:lang w:val="es-ES" w:eastAsia="es-ES"/>
        </w:rPr>
        <w:t>19</w:t>
      </w:r>
      <w:r w:rsidR="00CF0FEA" w:rsidRPr="00485619">
        <w:rPr>
          <w:rFonts w:ascii="Verdana" w:eastAsia="Times New Roman" w:hAnsi="Verdana" w:cs="Times New Roman"/>
          <w:sz w:val="24"/>
          <w:szCs w:val="24"/>
          <w:lang w:val="es-ES" w:eastAsia="es-ES"/>
        </w:rPr>
        <w:t xml:space="preserve"> de ellas</w:t>
      </w:r>
      <w:r w:rsidRPr="00485619">
        <w:rPr>
          <w:rFonts w:ascii="Verdana" w:eastAsia="Times New Roman" w:hAnsi="Verdana" w:cs="Times New Roman"/>
          <w:sz w:val="24"/>
          <w:szCs w:val="24"/>
          <w:lang w:val="es-ES" w:eastAsia="es-ES"/>
        </w:rPr>
        <w:t xml:space="preserve"> </w:t>
      </w:r>
      <w:r w:rsidR="000A1EF6" w:rsidRPr="00485619">
        <w:rPr>
          <w:rFonts w:ascii="Verdana" w:eastAsia="Times New Roman" w:hAnsi="Verdana" w:cs="Times New Roman"/>
          <w:sz w:val="24"/>
          <w:szCs w:val="24"/>
          <w:lang w:val="es-ES" w:eastAsia="es-ES"/>
        </w:rPr>
        <w:t>posee solamente</w:t>
      </w:r>
      <w:r w:rsidR="00E51F5B" w:rsidRPr="00485619">
        <w:rPr>
          <w:rFonts w:ascii="Verdana" w:eastAsia="Times New Roman" w:hAnsi="Verdana" w:cs="Times New Roman"/>
          <w:sz w:val="24"/>
          <w:szCs w:val="24"/>
          <w:lang w:val="es-ES" w:eastAsia="es-ES"/>
        </w:rPr>
        <w:t xml:space="preserve"> </w:t>
      </w:r>
      <w:r w:rsidR="00FB15D1" w:rsidRPr="00485619">
        <w:rPr>
          <w:rFonts w:ascii="Verdana" w:eastAsia="Times New Roman" w:hAnsi="Verdana" w:cs="Times New Roman"/>
          <w:sz w:val="24"/>
          <w:szCs w:val="24"/>
          <w:lang w:val="es-ES" w:eastAsia="es-ES"/>
        </w:rPr>
        <w:t>entre el 1% y el</w:t>
      </w:r>
      <w:r w:rsidR="000A1EF6" w:rsidRPr="00485619">
        <w:rPr>
          <w:rFonts w:ascii="Verdana" w:eastAsia="Times New Roman" w:hAnsi="Verdana" w:cs="Times New Roman"/>
          <w:sz w:val="24"/>
          <w:szCs w:val="24"/>
          <w:lang w:val="es-ES" w:eastAsia="es-ES"/>
        </w:rPr>
        <w:t xml:space="preserve"> 49%</w:t>
      </w:r>
      <w:r w:rsidR="00E51F5B" w:rsidRPr="00485619">
        <w:rPr>
          <w:rFonts w:ascii="Verdana" w:eastAsia="Times New Roman" w:hAnsi="Verdana" w:cs="Times New Roman"/>
          <w:sz w:val="24"/>
          <w:szCs w:val="24"/>
          <w:lang w:val="es-ES" w:eastAsia="es-ES"/>
        </w:rPr>
        <w:t xml:space="preserve"> descrito. </w:t>
      </w:r>
      <w:r w:rsidR="00FB15D1" w:rsidRPr="00485619">
        <w:rPr>
          <w:rFonts w:ascii="Verdana" w:eastAsia="Times New Roman" w:hAnsi="Verdana" w:cs="Times New Roman"/>
          <w:sz w:val="24"/>
          <w:szCs w:val="24"/>
          <w:lang w:val="es-ES" w:eastAsia="es-ES"/>
        </w:rPr>
        <w:t>Dos institucione</w:t>
      </w:r>
      <w:r w:rsidR="002613F5" w:rsidRPr="00485619">
        <w:rPr>
          <w:rFonts w:ascii="Verdana" w:eastAsia="Times New Roman" w:hAnsi="Verdana" w:cs="Times New Roman"/>
          <w:sz w:val="24"/>
          <w:szCs w:val="24"/>
          <w:lang w:val="es-ES" w:eastAsia="es-ES"/>
        </w:rPr>
        <w:t xml:space="preserve">s no respondieron esta pregunta: Colegio Universitario de Limón y Instituto Nacional de Estadística y Censos. </w:t>
      </w:r>
    </w:p>
    <w:p w14:paraId="23CC7EAC" w14:textId="44604066" w:rsidR="006A6EA9" w:rsidRPr="00485619" w:rsidRDefault="00FB15D1" w:rsidP="00485619">
      <w:pPr>
        <w:spacing w:after="0" w:line="240" w:lineRule="auto"/>
        <w:jc w:val="both"/>
        <w:rPr>
          <w:rFonts w:ascii="Verdana" w:eastAsia="Times New Roman" w:hAnsi="Verdana" w:cs="Times New Roman"/>
          <w:b/>
          <w:bCs/>
          <w:sz w:val="24"/>
          <w:szCs w:val="24"/>
          <w:highlight w:val="yellow"/>
          <w:lang w:val="es-ES" w:eastAsia="es-ES"/>
        </w:rPr>
      </w:pPr>
      <w:r w:rsidRPr="00485619">
        <w:rPr>
          <w:rFonts w:ascii="Verdana" w:eastAsia="Times New Roman" w:hAnsi="Verdana" w:cs="Times New Roman"/>
          <w:sz w:val="24"/>
          <w:szCs w:val="24"/>
          <w:lang w:val="es-ES" w:eastAsia="es-ES"/>
        </w:rPr>
        <w:t xml:space="preserve">El porcentaje descrito </w:t>
      </w:r>
      <w:r w:rsidR="00671A39" w:rsidRPr="00485619">
        <w:rPr>
          <w:rFonts w:ascii="Verdana" w:eastAsia="Times New Roman" w:hAnsi="Verdana" w:cs="Times New Roman"/>
          <w:sz w:val="24"/>
          <w:szCs w:val="24"/>
          <w:lang w:val="es-ES" w:eastAsia="es-ES"/>
        </w:rPr>
        <w:t xml:space="preserve">promedio </w:t>
      </w:r>
      <w:r w:rsidRPr="00485619">
        <w:rPr>
          <w:rFonts w:ascii="Verdana" w:eastAsia="Times New Roman" w:hAnsi="Verdana" w:cs="Times New Roman"/>
          <w:sz w:val="24"/>
          <w:szCs w:val="24"/>
          <w:lang w:val="es-ES" w:eastAsia="es-ES"/>
        </w:rPr>
        <w:t>es 69%</w:t>
      </w:r>
      <w:r w:rsidR="00671A39" w:rsidRPr="00485619">
        <w:rPr>
          <w:rFonts w:ascii="Verdana" w:eastAsia="Times New Roman" w:hAnsi="Verdana" w:cs="Times New Roman"/>
          <w:sz w:val="24"/>
          <w:szCs w:val="24"/>
          <w:lang w:val="es-ES" w:eastAsia="es-ES"/>
        </w:rPr>
        <w:t xml:space="preserve"> con una desviación estándar de 32 puntos porcentuales.</w:t>
      </w:r>
    </w:p>
    <w:p w14:paraId="77244C2C" w14:textId="77777777" w:rsidR="00621D3B" w:rsidRPr="00485619" w:rsidRDefault="00FB15D1" w:rsidP="00433124">
      <w:pPr>
        <w:spacing w:after="0" w:line="240" w:lineRule="auto"/>
        <w:jc w:val="center"/>
        <w:rPr>
          <w:rFonts w:ascii="Verdana" w:eastAsia="Times New Roman" w:hAnsi="Verdana" w:cs="Times New Roman"/>
          <w:b/>
          <w:bCs/>
          <w:sz w:val="24"/>
          <w:szCs w:val="24"/>
          <w:highlight w:val="yellow"/>
          <w:lang w:val="es-ES" w:eastAsia="es-ES"/>
        </w:rPr>
      </w:pPr>
      <w:r w:rsidRPr="00485619">
        <w:rPr>
          <w:rFonts w:ascii="Verdana" w:hAnsi="Verdana"/>
          <w:noProof/>
          <w:sz w:val="24"/>
          <w:szCs w:val="24"/>
          <w:lang w:val="es-ES" w:eastAsia="es-ES"/>
        </w:rPr>
        <w:drawing>
          <wp:inline distT="0" distB="0" distL="0" distR="0" wp14:anchorId="574E4B4E" wp14:editId="71ABCA39">
            <wp:extent cx="4471988" cy="3005138"/>
            <wp:effectExtent l="0" t="0" r="5080" b="508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E2CF46" w14:textId="54A1B5A6" w:rsidR="00671A39" w:rsidRPr="00485619" w:rsidRDefault="00671A3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Respecto a las normas de descripción documental </w:t>
      </w:r>
      <w:r w:rsidR="00EA2F81" w:rsidRPr="00485619">
        <w:rPr>
          <w:rFonts w:ascii="Verdana" w:eastAsia="Times New Roman" w:hAnsi="Verdana" w:cs="Times New Roman"/>
          <w:sz w:val="24"/>
          <w:szCs w:val="24"/>
          <w:lang w:val="es-ES" w:eastAsia="es-ES"/>
        </w:rPr>
        <w:t>única</w:t>
      </w:r>
      <w:r w:rsidR="000941CD" w:rsidRPr="00485619">
        <w:rPr>
          <w:rFonts w:ascii="Verdana" w:eastAsia="Times New Roman" w:hAnsi="Verdana" w:cs="Times New Roman"/>
          <w:sz w:val="24"/>
          <w:szCs w:val="24"/>
          <w:lang w:val="es-ES" w:eastAsia="es-ES"/>
        </w:rPr>
        <w:t xml:space="preserve">mente 53 (44,5%) instituciones </w:t>
      </w:r>
      <w:r w:rsidR="00EA2F81" w:rsidRPr="00485619">
        <w:rPr>
          <w:rFonts w:ascii="Verdana" w:eastAsia="Times New Roman" w:hAnsi="Verdana" w:cs="Times New Roman"/>
          <w:sz w:val="24"/>
          <w:szCs w:val="24"/>
          <w:lang w:val="es-ES" w:eastAsia="es-ES"/>
        </w:rPr>
        <w:t xml:space="preserve">dicen utilizar alguna, de ellas </w:t>
      </w:r>
      <w:r w:rsidRPr="00485619">
        <w:rPr>
          <w:rFonts w:ascii="Verdana" w:eastAsia="Times New Roman" w:hAnsi="Verdana" w:cs="Times New Roman"/>
          <w:sz w:val="24"/>
          <w:szCs w:val="24"/>
          <w:lang w:val="es-ES" w:eastAsia="es-ES"/>
        </w:rPr>
        <w:t>la más común es ISA</w:t>
      </w:r>
      <w:r w:rsidR="00EA3908" w:rsidRPr="00485619">
        <w:rPr>
          <w:rFonts w:ascii="Verdana" w:eastAsia="Times New Roman" w:hAnsi="Verdana" w:cs="Times New Roman"/>
          <w:sz w:val="24"/>
          <w:szCs w:val="24"/>
          <w:lang w:val="es-ES" w:eastAsia="es-ES"/>
        </w:rPr>
        <w:t xml:space="preserve">D-G, usada en 43 </w:t>
      </w:r>
      <w:r w:rsidRPr="00485619">
        <w:rPr>
          <w:rFonts w:ascii="Verdana" w:eastAsia="Times New Roman" w:hAnsi="Verdana" w:cs="Times New Roman"/>
          <w:sz w:val="24"/>
          <w:szCs w:val="24"/>
          <w:lang w:val="es-ES" w:eastAsia="es-ES"/>
        </w:rPr>
        <w:t>instituciones, la norma ISAAR cpf la utilizan las siguientes 3 instituciones</w:t>
      </w:r>
      <w:r w:rsidR="00EA2F81" w:rsidRPr="00485619">
        <w:rPr>
          <w:rFonts w:ascii="Verdana" w:eastAsia="Times New Roman" w:hAnsi="Verdana" w:cs="Times New Roman"/>
          <w:sz w:val="24"/>
          <w:szCs w:val="24"/>
          <w:lang w:val="es-ES" w:eastAsia="es-ES"/>
        </w:rPr>
        <w:t>:</w:t>
      </w:r>
      <w:r w:rsidRPr="00485619">
        <w:rPr>
          <w:rFonts w:ascii="Verdana" w:eastAsia="Times New Roman" w:hAnsi="Verdana" w:cs="Times New Roman"/>
          <w:sz w:val="24"/>
          <w:szCs w:val="24"/>
          <w:lang w:val="es-ES" w:eastAsia="es-ES"/>
        </w:rPr>
        <w:t xml:space="preserve"> Dirección Nacion</w:t>
      </w:r>
      <w:r w:rsidR="000941CD" w:rsidRPr="00485619">
        <w:rPr>
          <w:rFonts w:ascii="Verdana" w:eastAsia="Times New Roman" w:hAnsi="Verdana" w:cs="Times New Roman"/>
          <w:sz w:val="24"/>
          <w:szCs w:val="24"/>
          <w:lang w:val="es-ES" w:eastAsia="es-ES"/>
        </w:rPr>
        <w:t>al De Notariado, Municipalidad d</w:t>
      </w:r>
      <w:r w:rsidRPr="00485619">
        <w:rPr>
          <w:rFonts w:ascii="Verdana" w:eastAsia="Times New Roman" w:hAnsi="Verdana" w:cs="Times New Roman"/>
          <w:sz w:val="24"/>
          <w:szCs w:val="24"/>
          <w:lang w:val="es-ES" w:eastAsia="es-ES"/>
        </w:rPr>
        <w:t xml:space="preserve">e Barva, </w:t>
      </w:r>
      <w:r w:rsidR="000941CD" w:rsidRPr="00485619">
        <w:rPr>
          <w:rFonts w:ascii="Verdana" w:eastAsia="Times New Roman" w:hAnsi="Verdana" w:cs="Times New Roman"/>
          <w:sz w:val="24"/>
          <w:szCs w:val="24"/>
          <w:lang w:val="es-ES" w:eastAsia="es-ES"/>
        </w:rPr>
        <w:t>Colegio Universitario d</w:t>
      </w:r>
      <w:r w:rsidRPr="00485619">
        <w:rPr>
          <w:rFonts w:ascii="Verdana" w:eastAsia="Times New Roman" w:hAnsi="Verdana" w:cs="Times New Roman"/>
          <w:sz w:val="24"/>
          <w:szCs w:val="24"/>
          <w:lang w:val="es-ES" w:eastAsia="es-ES"/>
        </w:rPr>
        <w:t>e Limón, mientras que la norma IS</w:t>
      </w:r>
      <w:r w:rsidR="000941CD" w:rsidRPr="00485619">
        <w:rPr>
          <w:rFonts w:ascii="Verdana" w:eastAsia="Times New Roman" w:hAnsi="Verdana" w:cs="Times New Roman"/>
          <w:sz w:val="24"/>
          <w:szCs w:val="24"/>
          <w:lang w:val="es-ES" w:eastAsia="es-ES"/>
        </w:rPr>
        <w:t>D</w:t>
      </w:r>
      <w:r w:rsidRPr="00485619">
        <w:rPr>
          <w:rFonts w:ascii="Verdana" w:eastAsia="Times New Roman" w:hAnsi="Verdana" w:cs="Times New Roman"/>
          <w:sz w:val="24"/>
          <w:szCs w:val="24"/>
          <w:lang w:val="es-ES" w:eastAsia="es-ES"/>
        </w:rPr>
        <w:t>IAH únicamente la utiliza la Superintendencia de Telecomunicaciones,</w:t>
      </w:r>
      <w:r w:rsidR="00EA2F81" w:rsidRPr="00485619">
        <w:rPr>
          <w:rFonts w:ascii="Verdana" w:eastAsia="Times New Roman" w:hAnsi="Verdana" w:cs="Times New Roman"/>
          <w:sz w:val="24"/>
          <w:szCs w:val="24"/>
          <w:lang w:val="es-ES" w:eastAsia="es-ES"/>
        </w:rPr>
        <w:t xml:space="preserve"> además 7 instituciones aseguraron utilizar otra norma de las tipificadas anteriormente</w:t>
      </w:r>
      <w:r w:rsidR="000941CD" w:rsidRPr="00485619">
        <w:rPr>
          <w:rFonts w:ascii="Verdana" w:eastAsia="Times New Roman" w:hAnsi="Verdana" w:cs="Times New Roman"/>
          <w:sz w:val="24"/>
          <w:szCs w:val="24"/>
          <w:lang w:val="es-ES" w:eastAsia="es-ES"/>
        </w:rPr>
        <w:t>.</w:t>
      </w:r>
    </w:p>
    <w:p w14:paraId="55369C53"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2B180B93" w14:textId="0E19308F"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Además, se </w:t>
      </w:r>
      <w:r w:rsidR="00C14A8C" w:rsidRPr="00485619">
        <w:rPr>
          <w:rFonts w:ascii="Verdana" w:eastAsia="Times New Roman" w:hAnsi="Verdana" w:cs="Times New Roman"/>
          <w:sz w:val="24"/>
          <w:szCs w:val="24"/>
          <w:lang w:val="es-ES" w:eastAsia="es-ES"/>
        </w:rPr>
        <w:t xml:space="preserve">comprueba </w:t>
      </w:r>
      <w:r w:rsidR="00E51F5B" w:rsidRPr="00485619">
        <w:rPr>
          <w:rFonts w:ascii="Verdana" w:eastAsia="Times New Roman" w:hAnsi="Verdana" w:cs="Times New Roman"/>
          <w:sz w:val="24"/>
          <w:szCs w:val="24"/>
          <w:lang w:val="es-ES" w:eastAsia="es-ES"/>
        </w:rPr>
        <w:t>el desconocimiento de</w:t>
      </w:r>
      <w:r w:rsidRPr="00485619">
        <w:rPr>
          <w:rFonts w:ascii="Verdana" w:eastAsia="Times New Roman" w:hAnsi="Verdana" w:cs="Times New Roman"/>
          <w:sz w:val="24"/>
          <w:szCs w:val="24"/>
          <w:lang w:val="es-ES" w:eastAsia="es-ES"/>
        </w:rPr>
        <w:t xml:space="preserve"> los Encargados de Archivos Centrales sobre las otras normas de descripción archivística emitidas por el Consejo Internacional de Archivos (CIA), ya que ninguna de las entidades informó </w:t>
      </w:r>
      <w:r w:rsidR="008B6736" w:rsidRPr="00485619">
        <w:rPr>
          <w:rFonts w:ascii="Verdana" w:eastAsia="Times New Roman" w:hAnsi="Verdana" w:cs="Times New Roman"/>
          <w:sz w:val="24"/>
          <w:szCs w:val="24"/>
          <w:lang w:val="es-ES" w:eastAsia="es-ES"/>
        </w:rPr>
        <w:t>emplear</w:t>
      </w:r>
      <w:r w:rsidRPr="00485619">
        <w:rPr>
          <w:rFonts w:ascii="Verdana" w:eastAsia="Times New Roman" w:hAnsi="Verdana" w:cs="Times New Roman"/>
          <w:sz w:val="24"/>
          <w:szCs w:val="24"/>
          <w:lang w:val="es-ES" w:eastAsia="es-ES"/>
        </w:rPr>
        <w:t xml:space="preserve"> </w:t>
      </w:r>
      <w:r w:rsidR="00AE7E42" w:rsidRPr="00485619">
        <w:rPr>
          <w:rFonts w:ascii="Verdana" w:eastAsia="Times New Roman" w:hAnsi="Verdana" w:cs="Times New Roman"/>
          <w:sz w:val="24"/>
          <w:szCs w:val="24"/>
          <w:lang w:val="es-ES" w:eastAsia="es-ES"/>
        </w:rPr>
        <w:t>la</w:t>
      </w:r>
      <w:r w:rsidRPr="00485619">
        <w:rPr>
          <w:rFonts w:ascii="Verdana" w:eastAsia="Times New Roman" w:hAnsi="Verdana" w:cs="Times New Roman"/>
          <w:sz w:val="24"/>
          <w:szCs w:val="24"/>
          <w:lang w:val="es-ES" w:eastAsia="es-ES"/>
        </w:rPr>
        <w:t xml:space="preserve"> </w:t>
      </w:r>
      <w:r w:rsidR="00AE7E42" w:rsidRPr="00485619">
        <w:rPr>
          <w:rFonts w:ascii="Verdana" w:eastAsia="Times New Roman" w:hAnsi="Verdana" w:cs="Times New Roman"/>
          <w:sz w:val="24"/>
          <w:szCs w:val="24"/>
          <w:lang w:val="es-ES" w:eastAsia="es-ES"/>
        </w:rPr>
        <w:t>norma</w:t>
      </w:r>
      <w:r w:rsidRPr="00485619">
        <w:rPr>
          <w:rFonts w:ascii="Verdana" w:eastAsia="Times New Roman" w:hAnsi="Verdana" w:cs="Times New Roman"/>
          <w:sz w:val="24"/>
          <w:szCs w:val="24"/>
          <w:lang w:val="es-ES" w:eastAsia="es-ES"/>
        </w:rPr>
        <w:t xml:space="preserve"> ISDF “Norma internacional para la descripción de funciones”</w:t>
      </w:r>
      <w:r w:rsidR="00EA3908" w:rsidRPr="00485619">
        <w:rPr>
          <w:rFonts w:ascii="Verdana" w:eastAsia="Times New Roman" w:hAnsi="Verdana" w:cs="Times New Roman"/>
          <w:sz w:val="24"/>
          <w:szCs w:val="24"/>
          <w:lang w:val="es-ES" w:eastAsia="es-ES"/>
        </w:rPr>
        <w:t>.</w:t>
      </w:r>
      <w:r w:rsidRPr="00485619">
        <w:rPr>
          <w:rFonts w:ascii="Verdana" w:eastAsia="Times New Roman" w:hAnsi="Verdana" w:cs="Times New Roman"/>
          <w:sz w:val="24"/>
          <w:szCs w:val="24"/>
          <w:lang w:val="es-ES" w:eastAsia="es-ES"/>
        </w:rPr>
        <w:t xml:space="preserve">”. </w:t>
      </w:r>
    </w:p>
    <w:p w14:paraId="5480BDB3"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69FA57D0"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Por lo tanto, el Sistema Nacional de Archivos no cuenta con la normalización necesaria para facilitar la recuperación y el intercambio de información sobre los documentos de archivo ni la integración de las descripciones procedentes de distintos lugares en un sistema unificado de información.   </w:t>
      </w:r>
    </w:p>
    <w:p w14:paraId="6FE204E7" w14:textId="77777777" w:rsidR="00A215A9" w:rsidRDefault="00A215A9" w:rsidP="00485619">
      <w:pPr>
        <w:pStyle w:val="Ttulo2"/>
        <w:jc w:val="both"/>
        <w:rPr>
          <w:rFonts w:ascii="Verdana" w:hAnsi="Verdana"/>
          <w:sz w:val="24"/>
          <w:szCs w:val="24"/>
        </w:rPr>
      </w:pPr>
    </w:p>
    <w:p w14:paraId="7EE07E34" w14:textId="77777777" w:rsidR="006A6EA9" w:rsidRPr="00485619" w:rsidRDefault="007D380A" w:rsidP="00485619">
      <w:pPr>
        <w:pStyle w:val="Ttulo2"/>
        <w:jc w:val="both"/>
        <w:rPr>
          <w:rFonts w:ascii="Verdana" w:hAnsi="Verdana"/>
          <w:sz w:val="24"/>
          <w:szCs w:val="24"/>
        </w:rPr>
      </w:pPr>
      <w:bookmarkStart w:id="12" w:name="_Toc444697509"/>
      <w:r w:rsidRPr="00485619">
        <w:rPr>
          <w:rFonts w:ascii="Verdana" w:hAnsi="Verdana"/>
          <w:sz w:val="24"/>
          <w:szCs w:val="24"/>
        </w:rPr>
        <w:t>3. Valoración y Selección D</w:t>
      </w:r>
      <w:r w:rsidR="006A6EA9" w:rsidRPr="00485619">
        <w:rPr>
          <w:rFonts w:ascii="Verdana" w:hAnsi="Verdana"/>
          <w:sz w:val="24"/>
          <w:szCs w:val="24"/>
        </w:rPr>
        <w:t>ocumental</w:t>
      </w:r>
      <w:bookmarkEnd w:id="12"/>
    </w:p>
    <w:p w14:paraId="05569AB0"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667906E9"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De acuerdo con el marco normativo vigente, uno de los elementos fundamentales para una adecuada valoración documental, es que cada una de las instituciones cuente con un Comité Institucional de Selección y Eliminación de Documentos (CISED). Específicamente, el artículo 33 de la Ley Nº 7202 del Sistema Nacional de Archivos, establece que: </w:t>
      </w:r>
    </w:p>
    <w:p w14:paraId="4C0B0298"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5D6F54EA" w14:textId="77777777" w:rsidR="006A6EA9" w:rsidRPr="00485619" w:rsidRDefault="006A6EA9" w:rsidP="00485619">
      <w:pPr>
        <w:spacing w:after="0" w:line="240" w:lineRule="auto"/>
        <w:ind w:left="737" w:right="737"/>
        <w:jc w:val="both"/>
        <w:rPr>
          <w:rFonts w:ascii="Verdana" w:eastAsia="Times New Roman" w:hAnsi="Verdana" w:cs="Times New Roman"/>
          <w:i/>
          <w:iCs/>
          <w:sz w:val="24"/>
          <w:szCs w:val="24"/>
          <w:lang w:val="es-ES" w:eastAsia="es-ES"/>
        </w:rPr>
      </w:pPr>
      <w:r w:rsidRPr="00485619">
        <w:rPr>
          <w:rFonts w:ascii="Verdana" w:eastAsia="Times New Roman" w:hAnsi="Verdana" w:cs="Times New Roman"/>
          <w:i/>
          <w:iCs/>
          <w:sz w:val="24"/>
          <w:szCs w:val="24"/>
          <w:lang w:val="es-ES" w:eastAsia="es-ES"/>
        </w:rPr>
        <w:t>“Cada una de las entidades mencionadas en el artículo 2º de la presente ley integrará un comité institucional de selección y eliminación de documentos, formado por el encargado del archivo, el asesor legal y el superior administrativo de la entidad productora de la documentación.”</w:t>
      </w:r>
    </w:p>
    <w:p w14:paraId="13196ABB"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5120339E"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Los resultados obtenidos de la variable “existencia de los CISED”, son los siguientes: de las </w:t>
      </w:r>
      <w:r w:rsidR="004110D8" w:rsidRPr="00485619">
        <w:rPr>
          <w:rFonts w:ascii="Verdana" w:eastAsia="Times New Roman" w:hAnsi="Verdana" w:cs="Times New Roman"/>
          <w:sz w:val="24"/>
          <w:szCs w:val="24"/>
          <w:lang w:val="es-ES" w:eastAsia="es-ES"/>
        </w:rPr>
        <w:t>119 instituciones estudiadas, 109 (91.6</w:t>
      </w:r>
      <w:r w:rsidRPr="00485619">
        <w:rPr>
          <w:rFonts w:ascii="Verdana" w:eastAsia="Times New Roman" w:hAnsi="Verdana" w:cs="Times New Roman"/>
          <w:sz w:val="24"/>
          <w:szCs w:val="24"/>
          <w:lang w:val="es-ES" w:eastAsia="es-ES"/>
        </w:rPr>
        <w:t>%) señalaron haber conform</w:t>
      </w:r>
      <w:r w:rsidR="00BA2333" w:rsidRPr="00485619">
        <w:rPr>
          <w:rFonts w:ascii="Verdana" w:eastAsia="Times New Roman" w:hAnsi="Verdana" w:cs="Times New Roman"/>
          <w:sz w:val="24"/>
          <w:szCs w:val="24"/>
          <w:lang w:val="es-ES" w:eastAsia="es-ES"/>
        </w:rPr>
        <w:t>a</w:t>
      </w:r>
      <w:r w:rsidR="004110D8" w:rsidRPr="00485619">
        <w:rPr>
          <w:rFonts w:ascii="Verdana" w:eastAsia="Times New Roman" w:hAnsi="Verdana" w:cs="Times New Roman"/>
          <w:sz w:val="24"/>
          <w:szCs w:val="24"/>
          <w:lang w:val="es-ES" w:eastAsia="es-ES"/>
        </w:rPr>
        <w:t>do dicho Comité, en tanto que 10</w:t>
      </w:r>
      <w:r w:rsidR="00BA2333" w:rsidRPr="00485619">
        <w:rPr>
          <w:rFonts w:ascii="Verdana" w:eastAsia="Times New Roman" w:hAnsi="Verdana" w:cs="Times New Roman"/>
          <w:sz w:val="24"/>
          <w:szCs w:val="24"/>
          <w:lang w:val="es-ES" w:eastAsia="es-ES"/>
        </w:rPr>
        <w:t xml:space="preserve"> (</w:t>
      </w:r>
      <w:r w:rsidR="004110D8" w:rsidRPr="00485619">
        <w:rPr>
          <w:rFonts w:ascii="Verdana" w:eastAsia="Times New Roman" w:hAnsi="Verdana" w:cs="Times New Roman"/>
          <w:sz w:val="24"/>
          <w:szCs w:val="24"/>
          <w:lang w:val="es-ES" w:eastAsia="es-ES"/>
        </w:rPr>
        <w:t>8,4</w:t>
      </w:r>
      <w:r w:rsidRPr="00485619">
        <w:rPr>
          <w:rFonts w:ascii="Verdana" w:eastAsia="Times New Roman" w:hAnsi="Verdana" w:cs="Times New Roman"/>
          <w:sz w:val="24"/>
          <w:szCs w:val="24"/>
          <w:lang w:val="es-ES" w:eastAsia="es-ES"/>
        </w:rPr>
        <w:t xml:space="preserve">%) no lo tienen.  </w:t>
      </w:r>
    </w:p>
    <w:p w14:paraId="26C2D791" w14:textId="77777777" w:rsidR="00DC4EB3" w:rsidRPr="00485619" w:rsidRDefault="00DC4EB3" w:rsidP="00485619">
      <w:pPr>
        <w:spacing w:after="0" w:line="240" w:lineRule="auto"/>
        <w:jc w:val="both"/>
        <w:rPr>
          <w:rFonts w:ascii="Verdana" w:eastAsia="Times New Roman" w:hAnsi="Verdana" w:cs="Times New Roman"/>
          <w:sz w:val="24"/>
          <w:szCs w:val="24"/>
          <w:highlight w:val="yellow"/>
          <w:lang w:val="es-ES" w:eastAsia="es-ES"/>
        </w:rPr>
      </w:pPr>
    </w:p>
    <w:p w14:paraId="1BD4900C"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Se debe reiterar que la Asesoría Legal del Archivo Nacional ha emitido criterios con respecto a la conformación de los Comités Institucionales de Selección y Eliminación de Documentos, en los que se refiere a temas como: </w:t>
      </w:r>
    </w:p>
    <w:p w14:paraId="44A6E2F1"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515D156F" w14:textId="77777777" w:rsidR="006A6EA9" w:rsidRPr="00485619" w:rsidRDefault="006A6EA9" w:rsidP="00485619">
      <w:pPr>
        <w:numPr>
          <w:ilvl w:val="0"/>
          <w:numId w:val="5"/>
        </w:numPr>
        <w:tabs>
          <w:tab w:val="num" w:pos="1068"/>
        </w:tabs>
        <w:spacing w:after="0" w:line="240" w:lineRule="auto"/>
        <w:ind w:left="1068"/>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Delegación de los representantes de los CISED </w:t>
      </w:r>
    </w:p>
    <w:p w14:paraId="7B0C3403" w14:textId="77777777" w:rsidR="006A6EA9" w:rsidRPr="00485619" w:rsidRDefault="006A6EA9" w:rsidP="00485619">
      <w:pPr>
        <w:numPr>
          <w:ilvl w:val="0"/>
          <w:numId w:val="5"/>
        </w:numPr>
        <w:tabs>
          <w:tab w:val="num" w:pos="1068"/>
        </w:tabs>
        <w:spacing w:after="0" w:line="240" w:lineRule="auto"/>
        <w:ind w:left="1068"/>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Contrataciones externas de personal para la conformación de los CISED</w:t>
      </w:r>
    </w:p>
    <w:p w14:paraId="1E345E7D" w14:textId="77777777" w:rsidR="006A6EA9" w:rsidRPr="00485619" w:rsidRDefault="006A6EA9" w:rsidP="00485619">
      <w:pPr>
        <w:numPr>
          <w:ilvl w:val="0"/>
          <w:numId w:val="5"/>
        </w:numPr>
        <w:tabs>
          <w:tab w:val="num" w:pos="1068"/>
        </w:tabs>
        <w:spacing w:after="0" w:line="240" w:lineRule="auto"/>
        <w:ind w:left="1068"/>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CISED en los órganos desconcentrados   </w:t>
      </w:r>
    </w:p>
    <w:p w14:paraId="5A199D94" w14:textId="77777777" w:rsidR="006A6EA9" w:rsidRPr="00485619" w:rsidRDefault="006A6EA9" w:rsidP="00485619">
      <w:pPr>
        <w:spacing w:after="0" w:line="240" w:lineRule="auto"/>
        <w:jc w:val="both"/>
        <w:rPr>
          <w:rFonts w:ascii="Verdana" w:eastAsia="Times New Roman" w:hAnsi="Verdana" w:cs="Arial"/>
          <w:sz w:val="24"/>
          <w:szCs w:val="24"/>
          <w:lang w:val="es-ES" w:eastAsia="es-ES"/>
        </w:rPr>
      </w:pPr>
    </w:p>
    <w:p w14:paraId="23BF0B23" w14:textId="77777777" w:rsidR="006A6EA9" w:rsidRPr="00485619" w:rsidRDefault="009F7FCF" w:rsidP="00485619">
      <w:pPr>
        <w:spacing w:after="0" w:line="240" w:lineRule="auto"/>
        <w:jc w:val="both"/>
        <w:rPr>
          <w:rFonts w:ascii="Verdana" w:eastAsia="Times New Roman" w:hAnsi="Verdana" w:cs="Arial"/>
          <w:sz w:val="24"/>
          <w:szCs w:val="24"/>
          <w:lang w:val="es-ES" w:eastAsia="es-ES"/>
        </w:rPr>
      </w:pPr>
      <w:r w:rsidRPr="00485619">
        <w:rPr>
          <w:rFonts w:ascii="Verdana" w:eastAsia="Times New Roman" w:hAnsi="Verdana" w:cs="Arial"/>
          <w:sz w:val="24"/>
          <w:szCs w:val="24"/>
          <w:lang w:val="es-ES" w:eastAsia="es-ES"/>
        </w:rPr>
        <w:t>De esta manera,</w:t>
      </w:r>
      <w:r w:rsidR="006A6EA9" w:rsidRPr="00485619">
        <w:rPr>
          <w:rFonts w:ascii="Verdana" w:eastAsia="Times New Roman" w:hAnsi="Verdana" w:cs="Arial"/>
          <w:sz w:val="24"/>
          <w:szCs w:val="24"/>
          <w:lang w:val="es-ES" w:eastAsia="es-ES"/>
        </w:rPr>
        <w:t xml:space="preserve"> es primordial analizar si estos comités se encuentran activos, por lo que resulta necesario considerar si las instituciones cuentan con tablas de plazos de conservación de documentos o valoraciones parciales de documentos </w:t>
      </w:r>
      <w:r w:rsidR="00284D49" w:rsidRPr="00485619">
        <w:rPr>
          <w:rFonts w:ascii="Verdana" w:eastAsia="Times New Roman" w:hAnsi="Verdana" w:cs="Arial"/>
          <w:sz w:val="24"/>
          <w:szCs w:val="24"/>
          <w:lang w:val="es-ES" w:eastAsia="es-ES"/>
        </w:rPr>
        <w:t>conocidas</w:t>
      </w:r>
      <w:r w:rsidR="006A6EA9" w:rsidRPr="00485619">
        <w:rPr>
          <w:rFonts w:ascii="Verdana" w:eastAsia="Times New Roman" w:hAnsi="Verdana" w:cs="Arial"/>
          <w:sz w:val="24"/>
          <w:szCs w:val="24"/>
          <w:lang w:val="es-ES" w:eastAsia="es-ES"/>
        </w:rPr>
        <w:t xml:space="preserve"> por la Comisión Nacional de Selección y Eliminación de Documentos (CNSED) y su aplicación en las instituciones. </w:t>
      </w:r>
    </w:p>
    <w:p w14:paraId="731B056B" w14:textId="77777777" w:rsidR="006A6EA9" w:rsidRPr="00485619" w:rsidRDefault="006A6EA9" w:rsidP="00485619">
      <w:pPr>
        <w:spacing w:after="0" w:line="240" w:lineRule="auto"/>
        <w:jc w:val="both"/>
        <w:rPr>
          <w:rFonts w:ascii="Verdana" w:eastAsia="Times New Roman" w:hAnsi="Verdana" w:cs="Arial"/>
          <w:sz w:val="24"/>
          <w:szCs w:val="24"/>
          <w:highlight w:val="yellow"/>
          <w:lang w:val="es-ES" w:eastAsia="es-ES"/>
        </w:rPr>
      </w:pPr>
    </w:p>
    <w:p w14:paraId="6EABD38D" w14:textId="7D4ADD49" w:rsidR="006A6EA9" w:rsidRPr="00485619" w:rsidRDefault="009F7FCF"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 las</w:t>
      </w:r>
      <w:r w:rsidR="004110D8" w:rsidRPr="00485619">
        <w:rPr>
          <w:rFonts w:ascii="Verdana" w:eastAsia="Times New Roman" w:hAnsi="Verdana" w:cs="Times New Roman"/>
          <w:sz w:val="24"/>
          <w:szCs w:val="24"/>
          <w:lang w:val="es-ES" w:eastAsia="es-ES"/>
        </w:rPr>
        <w:t xml:space="preserve"> 119</w:t>
      </w:r>
      <w:r w:rsidRPr="00485619">
        <w:rPr>
          <w:rFonts w:ascii="Verdana" w:eastAsia="Times New Roman" w:hAnsi="Verdana" w:cs="Times New Roman"/>
          <w:sz w:val="24"/>
          <w:szCs w:val="24"/>
          <w:lang w:val="es-ES" w:eastAsia="es-ES"/>
        </w:rPr>
        <w:t xml:space="preserve"> instituciones analizadas, </w:t>
      </w:r>
      <w:r w:rsidR="004110D8" w:rsidRPr="00485619">
        <w:rPr>
          <w:rFonts w:ascii="Verdana" w:eastAsia="Times New Roman" w:hAnsi="Verdana" w:cs="Times New Roman"/>
          <w:sz w:val="24"/>
          <w:szCs w:val="24"/>
          <w:lang w:val="es-ES" w:eastAsia="es-ES"/>
        </w:rPr>
        <w:t xml:space="preserve">84 </w:t>
      </w:r>
      <w:r w:rsidR="00161982" w:rsidRPr="00485619">
        <w:rPr>
          <w:rFonts w:ascii="Verdana" w:eastAsia="Times New Roman" w:hAnsi="Verdana" w:cs="Times New Roman"/>
          <w:sz w:val="24"/>
          <w:szCs w:val="24"/>
          <w:lang w:val="es-ES" w:eastAsia="es-ES"/>
        </w:rPr>
        <w:t>(70,6%)</w:t>
      </w:r>
      <w:r w:rsidR="006A6EA9" w:rsidRPr="00485619">
        <w:rPr>
          <w:rFonts w:ascii="Verdana" w:eastAsia="Times New Roman" w:hAnsi="Verdana" w:cs="Times New Roman"/>
          <w:sz w:val="24"/>
          <w:szCs w:val="24"/>
          <w:lang w:val="es-ES" w:eastAsia="es-ES"/>
        </w:rPr>
        <w:t xml:space="preserve"> indicaron contar con tablas de plazos de conservación de documentos o valoraciones parciales </w:t>
      </w:r>
      <w:r w:rsidRPr="00485619">
        <w:rPr>
          <w:rFonts w:ascii="Verdana" w:eastAsia="Times New Roman" w:hAnsi="Verdana" w:cs="Times New Roman"/>
          <w:sz w:val="24"/>
          <w:szCs w:val="24"/>
          <w:lang w:val="es-ES" w:eastAsia="es-ES"/>
        </w:rPr>
        <w:t>conocidas</w:t>
      </w:r>
      <w:r w:rsidR="006A6EA9" w:rsidRPr="00485619">
        <w:rPr>
          <w:rFonts w:ascii="Verdana" w:eastAsia="Times New Roman" w:hAnsi="Verdana" w:cs="Times New Roman"/>
          <w:sz w:val="24"/>
          <w:szCs w:val="24"/>
          <w:lang w:val="es-ES" w:eastAsia="es-ES"/>
        </w:rPr>
        <w:t xml:space="preserve"> por la Comisión Nacional de Selección y Eliminación de Documentos (CNSE</w:t>
      </w:r>
      <w:r w:rsidR="004110D8" w:rsidRPr="00485619">
        <w:rPr>
          <w:rFonts w:ascii="Verdana" w:eastAsia="Times New Roman" w:hAnsi="Verdana" w:cs="Times New Roman"/>
          <w:sz w:val="24"/>
          <w:szCs w:val="24"/>
          <w:lang w:val="es-ES" w:eastAsia="es-ES"/>
        </w:rPr>
        <w:t>D), 33</w:t>
      </w:r>
      <w:r w:rsidR="006A6EA9" w:rsidRPr="00485619">
        <w:rPr>
          <w:rFonts w:ascii="Verdana" w:eastAsia="Times New Roman" w:hAnsi="Verdana" w:cs="Times New Roman"/>
          <w:sz w:val="24"/>
          <w:szCs w:val="24"/>
          <w:lang w:val="es-ES" w:eastAsia="es-ES"/>
        </w:rPr>
        <w:t xml:space="preserve"> manifestaron no</w:t>
      </w:r>
      <w:r w:rsidRPr="00485619">
        <w:rPr>
          <w:rFonts w:ascii="Verdana" w:eastAsia="Times New Roman" w:hAnsi="Verdana" w:cs="Times New Roman"/>
          <w:sz w:val="24"/>
          <w:szCs w:val="24"/>
          <w:lang w:val="es-ES" w:eastAsia="es-ES"/>
        </w:rPr>
        <w:t xml:space="preserve"> contar con este instrumen</w:t>
      </w:r>
      <w:r w:rsidR="004110D8" w:rsidRPr="00485619">
        <w:rPr>
          <w:rFonts w:ascii="Verdana" w:eastAsia="Times New Roman" w:hAnsi="Verdana" w:cs="Times New Roman"/>
          <w:sz w:val="24"/>
          <w:szCs w:val="24"/>
          <w:lang w:val="es-ES" w:eastAsia="es-ES"/>
        </w:rPr>
        <w:t>to y 2</w:t>
      </w:r>
      <w:r w:rsidR="006A6EA9" w:rsidRPr="00485619">
        <w:rPr>
          <w:rFonts w:ascii="Verdana" w:eastAsia="Times New Roman" w:hAnsi="Verdana" w:cs="Times New Roman"/>
          <w:sz w:val="24"/>
          <w:szCs w:val="24"/>
          <w:lang w:val="es-ES" w:eastAsia="es-ES"/>
        </w:rPr>
        <w:t xml:space="preserve"> no respondió a la pregunta</w:t>
      </w:r>
      <w:r w:rsidRPr="00485619">
        <w:rPr>
          <w:rFonts w:ascii="Verdana" w:eastAsia="Times New Roman" w:hAnsi="Verdana" w:cs="Times New Roman"/>
          <w:sz w:val="24"/>
          <w:szCs w:val="24"/>
          <w:lang w:val="es-ES" w:eastAsia="es-ES"/>
        </w:rPr>
        <w:t>.</w:t>
      </w:r>
      <w:r w:rsidR="006A6EA9" w:rsidRPr="00485619">
        <w:rPr>
          <w:rFonts w:ascii="Verdana" w:eastAsia="Times New Roman" w:hAnsi="Verdana" w:cs="Times New Roman"/>
          <w:sz w:val="24"/>
          <w:szCs w:val="24"/>
          <w:lang w:val="es-ES" w:eastAsia="es-ES"/>
        </w:rPr>
        <w:t xml:space="preserve"> </w:t>
      </w:r>
      <w:r w:rsidR="00161982" w:rsidRPr="00485619">
        <w:rPr>
          <w:rFonts w:ascii="Verdana" w:eastAsia="Times New Roman" w:hAnsi="Verdana" w:cs="Times New Roman"/>
          <w:sz w:val="24"/>
          <w:szCs w:val="24"/>
          <w:lang w:val="es-ES" w:eastAsia="es-ES"/>
        </w:rPr>
        <w:t>De dichas</w:t>
      </w:r>
      <w:r w:rsidR="00362653" w:rsidRPr="00485619">
        <w:rPr>
          <w:rFonts w:ascii="Verdana" w:eastAsia="Times New Roman" w:hAnsi="Verdana" w:cs="Times New Roman"/>
          <w:sz w:val="24"/>
          <w:szCs w:val="24"/>
          <w:lang w:val="es-ES" w:eastAsia="es-ES"/>
        </w:rPr>
        <w:t xml:space="preserve"> 84 instituciones, únicamente 53</w:t>
      </w:r>
      <w:r w:rsidR="00D9508C" w:rsidRPr="00485619">
        <w:rPr>
          <w:rFonts w:ascii="Verdana" w:eastAsia="Times New Roman" w:hAnsi="Verdana" w:cs="Times New Roman"/>
          <w:sz w:val="24"/>
          <w:szCs w:val="24"/>
          <w:lang w:val="es-ES" w:eastAsia="es-ES"/>
        </w:rPr>
        <w:t xml:space="preserve"> señalaron que las tablas de plazos o valoraciones parciales de conservación de documentos corresponden a las </w:t>
      </w:r>
      <w:r w:rsidR="00161982" w:rsidRPr="00485619">
        <w:rPr>
          <w:rFonts w:ascii="Verdana" w:eastAsia="Times New Roman" w:hAnsi="Verdana" w:cs="Times New Roman"/>
          <w:sz w:val="24"/>
          <w:szCs w:val="24"/>
          <w:lang w:val="es-ES" w:eastAsia="es-ES"/>
        </w:rPr>
        <w:t xml:space="preserve">unidades de más alta jerarquía y </w:t>
      </w:r>
      <w:r w:rsidR="00D479B6" w:rsidRPr="00485619">
        <w:rPr>
          <w:rFonts w:ascii="Verdana" w:eastAsia="Times New Roman" w:hAnsi="Verdana" w:cs="Times New Roman"/>
          <w:sz w:val="24"/>
          <w:szCs w:val="24"/>
          <w:lang w:val="es-ES" w:eastAsia="es-ES"/>
        </w:rPr>
        <w:t>64</w:t>
      </w:r>
      <w:r w:rsidR="006A6EA9" w:rsidRPr="00485619">
        <w:rPr>
          <w:rFonts w:ascii="Verdana" w:eastAsia="Times New Roman" w:hAnsi="Verdana" w:cs="Times New Roman"/>
          <w:sz w:val="24"/>
          <w:szCs w:val="24"/>
          <w:lang w:val="es-ES" w:eastAsia="es-ES"/>
        </w:rPr>
        <w:t xml:space="preserve"> tienen </w:t>
      </w:r>
      <w:r w:rsidR="00161982" w:rsidRPr="00485619">
        <w:rPr>
          <w:rFonts w:ascii="Verdana" w:eastAsia="Times New Roman" w:hAnsi="Verdana" w:cs="Times New Roman"/>
          <w:sz w:val="24"/>
          <w:szCs w:val="24"/>
          <w:lang w:val="es-ES" w:eastAsia="es-ES"/>
        </w:rPr>
        <w:t>alguno</w:t>
      </w:r>
      <w:r w:rsidR="006539D2" w:rsidRPr="00485619">
        <w:rPr>
          <w:rFonts w:ascii="Verdana" w:eastAsia="Times New Roman" w:hAnsi="Verdana" w:cs="Times New Roman"/>
          <w:sz w:val="24"/>
          <w:szCs w:val="24"/>
          <w:lang w:val="es-ES" w:eastAsia="es-ES"/>
        </w:rPr>
        <w:t xml:space="preserve"> de estos instrumentos vigentes</w:t>
      </w:r>
      <w:r w:rsidR="006A6EA9" w:rsidRPr="00485619">
        <w:rPr>
          <w:rFonts w:ascii="Verdana" w:eastAsia="Times New Roman" w:hAnsi="Verdana" w:cs="Times New Roman"/>
          <w:sz w:val="24"/>
          <w:szCs w:val="24"/>
          <w:lang w:val="es-ES" w:eastAsia="es-ES"/>
        </w:rPr>
        <w:t xml:space="preserve"> </w:t>
      </w:r>
      <w:r w:rsidR="00D479B6" w:rsidRPr="00485619">
        <w:rPr>
          <w:rFonts w:ascii="Verdana" w:eastAsia="Times New Roman" w:hAnsi="Verdana" w:cs="Times New Roman"/>
          <w:sz w:val="24"/>
          <w:szCs w:val="24"/>
          <w:lang w:val="es-ES" w:eastAsia="es-ES"/>
        </w:rPr>
        <w:t xml:space="preserve">(total o parcialmente) </w:t>
      </w:r>
      <w:r w:rsidR="00161982" w:rsidRPr="00485619">
        <w:rPr>
          <w:rFonts w:ascii="Verdana" w:eastAsia="Times New Roman" w:hAnsi="Verdana" w:cs="Times New Roman"/>
          <w:sz w:val="24"/>
          <w:szCs w:val="24"/>
          <w:lang w:val="es-ES" w:eastAsia="es-ES"/>
        </w:rPr>
        <w:t xml:space="preserve">y 14 </w:t>
      </w:r>
      <w:r w:rsidR="008A7C68" w:rsidRPr="00485619">
        <w:rPr>
          <w:rFonts w:ascii="Verdana" w:eastAsia="Times New Roman" w:hAnsi="Verdana" w:cs="Times New Roman"/>
          <w:sz w:val="24"/>
          <w:szCs w:val="24"/>
          <w:lang w:val="es-ES" w:eastAsia="es-ES"/>
        </w:rPr>
        <w:t xml:space="preserve">indican que están </w:t>
      </w:r>
      <w:r w:rsidR="008C2CAC" w:rsidRPr="00485619">
        <w:rPr>
          <w:rFonts w:ascii="Verdana" w:eastAsia="Times New Roman" w:hAnsi="Verdana" w:cs="Times New Roman"/>
          <w:sz w:val="24"/>
          <w:szCs w:val="24"/>
          <w:lang w:val="es-ES" w:eastAsia="es-ES"/>
        </w:rPr>
        <w:t>vencidas,</w:t>
      </w:r>
      <w:r w:rsidR="00161982" w:rsidRPr="00485619">
        <w:rPr>
          <w:rFonts w:ascii="Verdana" w:eastAsia="Times New Roman" w:hAnsi="Verdana" w:cs="Times New Roman"/>
          <w:sz w:val="24"/>
          <w:szCs w:val="24"/>
          <w:lang w:val="es-ES" w:eastAsia="es-ES"/>
        </w:rPr>
        <w:t xml:space="preserve"> </w:t>
      </w:r>
      <w:r w:rsidR="008C2CAC" w:rsidRPr="00485619">
        <w:rPr>
          <w:rFonts w:ascii="Verdana" w:eastAsia="Times New Roman" w:hAnsi="Verdana" w:cs="Times New Roman"/>
          <w:sz w:val="24"/>
          <w:szCs w:val="24"/>
          <w:lang w:val="es-ES" w:eastAsia="es-ES"/>
        </w:rPr>
        <w:t>además</w:t>
      </w:r>
      <w:r w:rsidR="008A7C68" w:rsidRPr="00485619">
        <w:rPr>
          <w:rFonts w:ascii="Verdana" w:eastAsia="Times New Roman" w:hAnsi="Verdana" w:cs="Times New Roman"/>
          <w:sz w:val="24"/>
          <w:szCs w:val="24"/>
          <w:lang w:val="es-ES" w:eastAsia="es-ES"/>
        </w:rPr>
        <w:t xml:space="preserve"> </w:t>
      </w:r>
      <w:r w:rsidR="00161982" w:rsidRPr="00485619">
        <w:rPr>
          <w:rFonts w:ascii="Verdana" w:eastAsia="Times New Roman" w:hAnsi="Verdana" w:cs="Times New Roman"/>
          <w:sz w:val="24"/>
          <w:szCs w:val="24"/>
          <w:lang w:val="es-ES" w:eastAsia="es-ES"/>
        </w:rPr>
        <w:t>6</w:t>
      </w:r>
      <w:r w:rsidR="006A6EA9" w:rsidRPr="00485619">
        <w:rPr>
          <w:rFonts w:ascii="Verdana" w:eastAsia="Times New Roman" w:hAnsi="Verdana" w:cs="Times New Roman"/>
          <w:sz w:val="24"/>
          <w:szCs w:val="24"/>
          <w:lang w:val="es-ES" w:eastAsia="es-ES"/>
        </w:rPr>
        <w:t xml:space="preserve"> no respondieron a la pregunta</w:t>
      </w:r>
      <w:r w:rsidR="00161982" w:rsidRPr="00485619">
        <w:rPr>
          <w:rFonts w:ascii="Verdana" w:eastAsia="Times New Roman" w:hAnsi="Verdana" w:cs="Times New Roman"/>
          <w:sz w:val="24"/>
          <w:szCs w:val="24"/>
          <w:lang w:val="es-ES" w:eastAsia="es-ES"/>
        </w:rPr>
        <w:t>.</w:t>
      </w:r>
      <w:r w:rsidR="006A6EA9" w:rsidRPr="00485619">
        <w:rPr>
          <w:rFonts w:ascii="Verdana" w:eastAsia="Times New Roman" w:hAnsi="Verdana" w:cs="Times New Roman"/>
          <w:sz w:val="24"/>
          <w:szCs w:val="24"/>
          <w:lang w:val="es-ES" w:eastAsia="es-ES"/>
        </w:rPr>
        <w:t xml:space="preserve"> </w:t>
      </w:r>
    </w:p>
    <w:p w14:paraId="61FEA2C9" w14:textId="6C6D82F4" w:rsidR="00A94DB9" w:rsidRPr="00485619" w:rsidRDefault="00BA56D0" w:rsidP="00485619">
      <w:pPr>
        <w:spacing w:after="0" w:line="240" w:lineRule="auto"/>
        <w:jc w:val="both"/>
        <w:rPr>
          <w:rFonts w:ascii="Verdana" w:eastAsia="Times New Roman" w:hAnsi="Verdana" w:cs="Times New Roman"/>
          <w:sz w:val="24"/>
          <w:szCs w:val="24"/>
          <w:lang w:val="es-ES" w:eastAsia="es-ES"/>
        </w:rPr>
      </w:pPr>
      <w:r w:rsidRPr="00485619">
        <w:rPr>
          <w:rFonts w:ascii="Verdana" w:hAnsi="Verdana"/>
          <w:noProof/>
          <w:sz w:val="24"/>
          <w:szCs w:val="24"/>
          <w:lang w:val="es-ES" w:eastAsia="es-ES"/>
        </w:rPr>
        <w:drawing>
          <wp:inline distT="0" distB="0" distL="0" distR="0" wp14:anchorId="4045AFF2" wp14:editId="13900A51">
            <wp:extent cx="5612130" cy="3052644"/>
            <wp:effectExtent l="0" t="0" r="762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A3F434" w14:textId="53692A68" w:rsidR="006A6EA9" w:rsidRPr="00433124" w:rsidRDefault="00C74957" w:rsidP="00433124">
      <w:pPr>
        <w:spacing w:after="0" w:line="240" w:lineRule="auto"/>
        <w:jc w:val="center"/>
        <w:rPr>
          <w:rFonts w:ascii="Verdana" w:eastAsia="Times New Roman" w:hAnsi="Verdana" w:cs="Arial"/>
          <w:color w:val="000000"/>
          <w:sz w:val="16"/>
          <w:szCs w:val="16"/>
          <w:lang w:eastAsia="es-CR"/>
        </w:rPr>
      </w:pPr>
      <w:r w:rsidRPr="00433124">
        <w:rPr>
          <w:rFonts w:ascii="Verdana" w:eastAsia="Times New Roman" w:hAnsi="Verdana" w:cs="Arial"/>
          <w:color w:val="000000"/>
          <w:sz w:val="16"/>
          <w:szCs w:val="16"/>
          <w:lang w:eastAsia="es-CR"/>
        </w:rPr>
        <w:t xml:space="preserve">Nota: Dos instituciones no respondieron la pregunta N° 41, que señala </w:t>
      </w:r>
      <w:r w:rsidR="00B56A9A" w:rsidRPr="00433124">
        <w:rPr>
          <w:rFonts w:ascii="Verdana" w:eastAsia="Times New Roman" w:hAnsi="Verdana" w:cs="Arial"/>
          <w:color w:val="000000"/>
          <w:sz w:val="16"/>
          <w:szCs w:val="16"/>
          <w:lang w:eastAsia="es-CR"/>
        </w:rPr>
        <w:t>si se cuenta con tablas de plazos de documentos o valoraciones parciales.</w:t>
      </w:r>
    </w:p>
    <w:p w14:paraId="5A1D84BA" w14:textId="77777777" w:rsidR="00C74957" w:rsidRPr="00485619" w:rsidRDefault="00C74957" w:rsidP="00485619">
      <w:pPr>
        <w:spacing w:after="0" w:line="240" w:lineRule="auto"/>
        <w:jc w:val="both"/>
        <w:rPr>
          <w:rFonts w:ascii="Verdana" w:eastAsia="Times New Roman" w:hAnsi="Verdana" w:cs="Times New Roman"/>
          <w:sz w:val="24"/>
          <w:szCs w:val="24"/>
          <w:highlight w:val="yellow"/>
          <w:lang w:val="es-ES" w:eastAsia="es-ES"/>
        </w:rPr>
      </w:pPr>
    </w:p>
    <w:p w14:paraId="60DC35FF"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 cuanto a la eliminación de documentos de acuerdo con el</w:t>
      </w:r>
      <w:r w:rsidR="00A92CBC" w:rsidRPr="00485619">
        <w:rPr>
          <w:rFonts w:ascii="Verdana" w:eastAsia="Times New Roman" w:hAnsi="Verdana" w:cs="Times New Roman"/>
          <w:sz w:val="24"/>
          <w:szCs w:val="24"/>
          <w:lang w:val="es-ES" w:eastAsia="es-ES"/>
        </w:rPr>
        <w:t xml:space="preserve"> procedimiento legal vigente, 104</w:t>
      </w:r>
      <w:r w:rsidR="002D2DFC" w:rsidRPr="00485619">
        <w:rPr>
          <w:rFonts w:ascii="Verdana" w:eastAsia="Times New Roman" w:hAnsi="Verdana" w:cs="Times New Roman"/>
          <w:sz w:val="24"/>
          <w:szCs w:val="24"/>
          <w:lang w:val="es-ES" w:eastAsia="es-ES"/>
        </w:rPr>
        <w:t xml:space="preserve"> (</w:t>
      </w:r>
      <w:r w:rsidR="00A92CBC" w:rsidRPr="00485619">
        <w:rPr>
          <w:rFonts w:ascii="Verdana" w:eastAsia="Times New Roman" w:hAnsi="Verdana" w:cs="Times New Roman"/>
          <w:sz w:val="24"/>
          <w:szCs w:val="24"/>
          <w:lang w:val="es-ES" w:eastAsia="es-ES"/>
        </w:rPr>
        <w:t>87,4</w:t>
      </w:r>
      <w:r w:rsidRPr="00485619">
        <w:rPr>
          <w:rFonts w:ascii="Verdana" w:eastAsia="Times New Roman" w:hAnsi="Verdana" w:cs="Times New Roman"/>
          <w:sz w:val="24"/>
          <w:szCs w:val="24"/>
          <w:lang w:val="es-ES" w:eastAsia="es-ES"/>
        </w:rPr>
        <w:t xml:space="preserve"> %</w:t>
      </w:r>
      <w:r w:rsidR="002D2DFC" w:rsidRPr="00485619">
        <w:rPr>
          <w:rFonts w:ascii="Verdana" w:eastAsia="Times New Roman" w:hAnsi="Verdana" w:cs="Times New Roman"/>
          <w:sz w:val="24"/>
          <w:szCs w:val="24"/>
          <w:lang w:val="es-ES" w:eastAsia="es-ES"/>
        </w:rPr>
        <w:t xml:space="preserve">) entidades lo han efectuado, </w:t>
      </w:r>
      <w:r w:rsidR="00A92CBC" w:rsidRPr="00485619">
        <w:rPr>
          <w:rFonts w:ascii="Verdana" w:eastAsia="Times New Roman" w:hAnsi="Verdana" w:cs="Times New Roman"/>
          <w:sz w:val="24"/>
          <w:szCs w:val="24"/>
          <w:lang w:val="es-ES" w:eastAsia="es-ES"/>
        </w:rPr>
        <w:t xml:space="preserve">6 </w:t>
      </w:r>
      <w:r w:rsidR="002D2DFC" w:rsidRPr="00485619">
        <w:rPr>
          <w:rFonts w:ascii="Verdana" w:eastAsia="Times New Roman" w:hAnsi="Verdana" w:cs="Times New Roman"/>
          <w:sz w:val="24"/>
          <w:szCs w:val="24"/>
          <w:lang w:val="es-ES" w:eastAsia="es-ES"/>
        </w:rPr>
        <w:t>(</w:t>
      </w:r>
      <w:r w:rsidR="00A92CBC" w:rsidRPr="00485619">
        <w:rPr>
          <w:rFonts w:ascii="Verdana" w:eastAsia="Times New Roman" w:hAnsi="Verdana" w:cs="Times New Roman"/>
          <w:sz w:val="24"/>
          <w:szCs w:val="24"/>
          <w:lang w:val="es-ES" w:eastAsia="es-ES"/>
        </w:rPr>
        <w:t>5%)</w:t>
      </w:r>
      <w:r w:rsidR="002D2DFC" w:rsidRPr="00485619">
        <w:rPr>
          <w:rFonts w:ascii="Verdana" w:eastAsia="Times New Roman" w:hAnsi="Verdana" w:cs="Times New Roman"/>
          <w:sz w:val="24"/>
          <w:szCs w:val="24"/>
          <w:lang w:val="es-ES" w:eastAsia="es-ES"/>
        </w:rPr>
        <w:t xml:space="preserve"> no han eliminado y </w:t>
      </w:r>
      <w:r w:rsidR="00A92CBC" w:rsidRPr="00485619">
        <w:rPr>
          <w:rFonts w:ascii="Verdana" w:eastAsia="Times New Roman" w:hAnsi="Verdana" w:cs="Times New Roman"/>
          <w:sz w:val="24"/>
          <w:szCs w:val="24"/>
          <w:lang w:val="es-ES" w:eastAsia="es-ES"/>
        </w:rPr>
        <w:t xml:space="preserve">2 (1,7%) no respondieron </w:t>
      </w:r>
      <w:r w:rsidRPr="00485619">
        <w:rPr>
          <w:rFonts w:ascii="Verdana" w:eastAsia="Times New Roman" w:hAnsi="Verdana" w:cs="Times New Roman"/>
          <w:sz w:val="24"/>
          <w:szCs w:val="24"/>
          <w:lang w:val="es-ES" w:eastAsia="es-ES"/>
        </w:rPr>
        <w:t xml:space="preserve"> la consulta. </w:t>
      </w:r>
    </w:p>
    <w:p w14:paraId="7B105FEF"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3E3D4E08" w14:textId="77777777" w:rsidR="006A6EA9" w:rsidRPr="00485619" w:rsidRDefault="00C654DF"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Es importante destacar, que </w:t>
      </w:r>
      <w:r w:rsidR="001A2AE6" w:rsidRPr="00485619">
        <w:rPr>
          <w:rFonts w:ascii="Verdana" w:eastAsia="Times New Roman" w:hAnsi="Verdana" w:cs="Times New Roman"/>
          <w:sz w:val="24"/>
          <w:szCs w:val="24"/>
          <w:lang w:val="es-ES" w:eastAsia="es-ES"/>
        </w:rPr>
        <w:t>84</w:t>
      </w:r>
      <w:r w:rsidR="006A6EA9" w:rsidRPr="00485619">
        <w:rPr>
          <w:rFonts w:ascii="Verdana" w:eastAsia="Times New Roman" w:hAnsi="Verdana" w:cs="Times New Roman"/>
          <w:sz w:val="24"/>
          <w:szCs w:val="24"/>
          <w:lang w:val="es-ES" w:eastAsia="es-ES"/>
        </w:rPr>
        <w:t xml:space="preserve"> instituciones afirmaron contar con tablas de plazos de conservación de documentos vigentes, sin embargo, solamente </w:t>
      </w:r>
      <w:r w:rsidR="00A92CBC" w:rsidRPr="00485619">
        <w:rPr>
          <w:rFonts w:ascii="Verdana" w:eastAsia="Times New Roman" w:hAnsi="Verdana" w:cs="Times New Roman"/>
          <w:sz w:val="24"/>
          <w:szCs w:val="24"/>
          <w:lang w:val="es-ES" w:eastAsia="es-ES"/>
        </w:rPr>
        <w:t>80</w:t>
      </w:r>
      <w:r w:rsidR="006A6EA9" w:rsidRPr="00485619">
        <w:rPr>
          <w:rFonts w:ascii="Verdana" w:eastAsia="Times New Roman" w:hAnsi="Verdana" w:cs="Times New Roman"/>
          <w:sz w:val="24"/>
          <w:szCs w:val="24"/>
          <w:lang w:val="es-ES" w:eastAsia="es-ES"/>
        </w:rPr>
        <w:t xml:space="preserve"> mencionaron haber eliminado documentos. Lo anterior quiere decir, que hay algunas entidades que no aplican lo establecido en los formularios de valoración documental.  </w:t>
      </w:r>
    </w:p>
    <w:p w14:paraId="04E6E774" w14:textId="77777777" w:rsidR="00EF6FA9" w:rsidRPr="00485619" w:rsidRDefault="00EF6FA9" w:rsidP="00485619">
      <w:pPr>
        <w:spacing w:after="0" w:line="240" w:lineRule="auto"/>
        <w:jc w:val="both"/>
        <w:rPr>
          <w:rFonts w:ascii="Verdana" w:eastAsia="Times New Roman" w:hAnsi="Verdana" w:cs="Times New Roman"/>
          <w:sz w:val="24"/>
          <w:szCs w:val="24"/>
          <w:lang w:val="es-ES" w:eastAsia="es-ES"/>
        </w:rPr>
      </w:pPr>
    </w:p>
    <w:p w14:paraId="100B705E" w14:textId="77777777" w:rsidR="00CB74DD" w:rsidRDefault="00CB74DD" w:rsidP="00485619">
      <w:pPr>
        <w:spacing w:after="0" w:line="240" w:lineRule="auto"/>
        <w:jc w:val="both"/>
        <w:rPr>
          <w:rFonts w:ascii="Verdana" w:eastAsia="Times New Roman" w:hAnsi="Verdana" w:cs="Times New Roman"/>
          <w:sz w:val="24"/>
          <w:szCs w:val="24"/>
          <w:lang w:val="es-ES" w:eastAsia="es-ES"/>
        </w:rPr>
      </w:pPr>
    </w:p>
    <w:p w14:paraId="4CE31498" w14:textId="77777777" w:rsidR="00A215A9" w:rsidRDefault="00A215A9" w:rsidP="00485619">
      <w:pPr>
        <w:spacing w:after="0" w:line="240" w:lineRule="auto"/>
        <w:jc w:val="both"/>
        <w:rPr>
          <w:rFonts w:ascii="Verdana" w:eastAsia="Times New Roman" w:hAnsi="Verdana" w:cs="Times New Roman"/>
          <w:sz w:val="24"/>
          <w:szCs w:val="24"/>
          <w:lang w:val="es-ES" w:eastAsia="es-ES"/>
        </w:rPr>
      </w:pPr>
    </w:p>
    <w:p w14:paraId="0D2824E6" w14:textId="77777777" w:rsidR="00A215A9" w:rsidRDefault="00A215A9" w:rsidP="00485619">
      <w:pPr>
        <w:spacing w:after="0" w:line="240" w:lineRule="auto"/>
        <w:jc w:val="both"/>
        <w:rPr>
          <w:rFonts w:ascii="Verdana" w:eastAsia="Times New Roman" w:hAnsi="Verdana" w:cs="Times New Roman"/>
          <w:sz w:val="24"/>
          <w:szCs w:val="24"/>
          <w:lang w:val="es-ES" w:eastAsia="es-ES"/>
        </w:rPr>
      </w:pPr>
    </w:p>
    <w:p w14:paraId="581C562F" w14:textId="77777777" w:rsidR="00A215A9" w:rsidRPr="00485619" w:rsidRDefault="00A215A9" w:rsidP="00485619">
      <w:pPr>
        <w:spacing w:after="0" w:line="240" w:lineRule="auto"/>
        <w:jc w:val="both"/>
        <w:rPr>
          <w:rFonts w:ascii="Verdana" w:eastAsia="Times New Roman" w:hAnsi="Verdana" w:cs="Times New Roman"/>
          <w:sz w:val="24"/>
          <w:szCs w:val="24"/>
          <w:lang w:val="es-ES" w:eastAsia="es-ES"/>
        </w:rPr>
      </w:pPr>
    </w:p>
    <w:p w14:paraId="50E76CA3" w14:textId="77777777" w:rsidR="006A6EA9" w:rsidRPr="00485619" w:rsidRDefault="006A6EA9" w:rsidP="00485619">
      <w:pPr>
        <w:pStyle w:val="Ttulo2"/>
        <w:jc w:val="both"/>
        <w:rPr>
          <w:rFonts w:ascii="Verdana" w:hAnsi="Verdana"/>
          <w:sz w:val="24"/>
          <w:szCs w:val="24"/>
        </w:rPr>
      </w:pPr>
      <w:bookmarkStart w:id="13" w:name="_Toc444697510"/>
      <w:r w:rsidRPr="00485619">
        <w:rPr>
          <w:rFonts w:ascii="Verdana" w:hAnsi="Verdana"/>
          <w:sz w:val="24"/>
          <w:szCs w:val="24"/>
        </w:rPr>
        <w:t>4. Servicios brindados por los Archivos Centrales</w:t>
      </w:r>
      <w:bookmarkEnd w:id="13"/>
    </w:p>
    <w:p w14:paraId="593F79FD" w14:textId="77777777" w:rsidR="006A6EA9" w:rsidRPr="00485619" w:rsidRDefault="006A6EA9" w:rsidP="00485619">
      <w:pPr>
        <w:shd w:val="clear" w:color="auto" w:fill="FFFFFF"/>
        <w:spacing w:after="0" w:line="240" w:lineRule="auto"/>
        <w:jc w:val="both"/>
        <w:rPr>
          <w:rFonts w:ascii="Verdana" w:eastAsia="Times New Roman" w:hAnsi="Verdana" w:cs="Arial"/>
          <w:b/>
          <w:bCs/>
          <w:sz w:val="24"/>
          <w:szCs w:val="24"/>
          <w:lang w:val="es-ES" w:eastAsia="es-ES"/>
        </w:rPr>
      </w:pPr>
    </w:p>
    <w:p w14:paraId="7337B167" w14:textId="77777777" w:rsidR="006A6EA9" w:rsidRPr="00485619" w:rsidRDefault="006A6EA9" w:rsidP="00485619">
      <w:pPr>
        <w:shd w:val="clear" w:color="auto" w:fill="FFFFFF"/>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Entre los servicios que se evaluaron en el presente estudio destacan: el préstamo y facilitación de documentos, transferencias documentales y capacitación a los encargados de los archivos de gestión. </w:t>
      </w:r>
    </w:p>
    <w:p w14:paraId="3A9DBC19" w14:textId="77777777" w:rsidR="006A6EA9" w:rsidRPr="00485619" w:rsidRDefault="006A6EA9" w:rsidP="00485619">
      <w:pPr>
        <w:shd w:val="clear" w:color="auto" w:fill="FFFFFF"/>
        <w:spacing w:after="0" w:line="240" w:lineRule="auto"/>
        <w:jc w:val="both"/>
        <w:rPr>
          <w:rFonts w:ascii="Verdana" w:eastAsia="Times New Roman" w:hAnsi="Verdana" w:cs="Times New Roman"/>
          <w:sz w:val="24"/>
          <w:szCs w:val="24"/>
          <w:highlight w:val="yellow"/>
          <w:lang w:val="es-ES" w:eastAsia="es-ES"/>
        </w:rPr>
      </w:pPr>
    </w:p>
    <w:p w14:paraId="5045D257" w14:textId="77777777" w:rsidR="000642E5"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En cuanto al </w:t>
      </w:r>
      <w:r w:rsidR="0091692D" w:rsidRPr="00485619">
        <w:rPr>
          <w:rFonts w:ascii="Verdana" w:eastAsia="Times New Roman" w:hAnsi="Verdana" w:cs="Times New Roman"/>
          <w:sz w:val="24"/>
          <w:szCs w:val="24"/>
          <w:lang w:val="es-ES" w:eastAsia="es-ES"/>
        </w:rPr>
        <w:t xml:space="preserve">préstamo documental, cabe destacar que </w:t>
      </w:r>
      <w:r w:rsidR="00A8408D" w:rsidRPr="00485619">
        <w:rPr>
          <w:rFonts w:ascii="Verdana" w:eastAsia="Times New Roman" w:hAnsi="Verdana" w:cs="Times New Roman"/>
          <w:sz w:val="24"/>
          <w:szCs w:val="24"/>
          <w:lang w:val="es-ES" w:eastAsia="es-ES"/>
        </w:rPr>
        <w:t>111</w:t>
      </w:r>
      <w:r w:rsidRPr="00485619">
        <w:rPr>
          <w:rFonts w:ascii="Verdana" w:eastAsia="Times New Roman" w:hAnsi="Verdana" w:cs="Times New Roman"/>
          <w:sz w:val="24"/>
          <w:szCs w:val="24"/>
          <w:lang w:val="es-ES" w:eastAsia="es-ES"/>
        </w:rPr>
        <w:t xml:space="preserve"> entidades manifestaron controlar la facilitació</w:t>
      </w:r>
      <w:r w:rsidR="0091692D" w:rsidRPr="00485619">
        <w:rPr>
          <w:rFonts w:ascii="Verdana" w:eastAsia="Times New Roman" w:hAnsi="Verdana" w:cs="Times New Roman"/>
          <w:sz w:val="24"/>
          <w:szCs w:val="24"/>
          <w:lang w:val="es-ES" w:eastAsia="es-ES"/>
        </w:rPr>
        <w:t>n de los documentos</w:t>
      </w:r>
      <w:r w:rsidR="00A8408D" w:rsidRPr="00485619">
        <w:rPr>
          <w:rFonts w:ascii="Verdana" w:eastAsia="Times New Roman" w:hAnsi="Verdana" w:cs="Times New Roman"/>
          <w:sz w:val="24"/>
          <w:szCs w:val="24"/>
          <w:lang w:val="es-ES" w:eastAsia="es-ES"/>
        </w:rPr>
        <w:t xml:space="preserve"> y 7</w:t>
      </w:r>
      <w:r w:rsidR="0091692D"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señalaron no controlar esta actividad</w:t>
      </w:r>
      <w:r w:rsidR="00A8408D" w:rsidRPr="00485619">
        <w:rPr>
          <w:rFonts w:ascii="Verdana" w:eastAsia="Times New Roman" w:hAnsi="Verdana" w:cs="Times New Roman"/>
          <w:sz w:val="24"/>
          <w:szCs w:val="24"/>
          <w:lang w:val="es-ES" w:eastAsia="es-ES"/>
        </w:rPr>
        <w:t xml:space="preserve">, una entidad no respondió. </w:t>
      </w:r>
      <w:r w:rsidR="000642E5" w:rsidRPr="00485619">
        <w:rPr>
          <w:rFonts w:ascii="Verdana" w:eastAsia="Times New Roman" w:hAnsi="Verdana" w:cs="Times New Roman"/>
          <w:sz w:val="24"/>
          <w:szCs w:val="24"/>
          <w:lang w:val="es-ES" w:eastAsia="es-ES"/>
        </w:rPr>
        <w:t>Además, cuando se consultó sobre la existencia de un procedimiento normalizado para llevar a cabo esta función, 110 indicaron realizar esta t</w:t>
      </w:r>
      <w:r w:rsidR="00A8408D" w:rsidRPr="00485619">
        <w:rPr>
          <w:rFonts w:ascii="Verdana" w:eastAsia="Times New Roman" w:hAnsi="Verdana" w:cs="Times New Roman"/>
          <w:sz w:val="24"/>
          <w:szCs w:val="24"/>
          <w:lang w:val="es-ES" w:eastAsia="es-ES"/>
        </w:rPr>
        <w:t>area de manera estandarizada, 8</w:t>
      </w:r>
      <w:r w:rsidR="000642E5" w:rsidRPr="00485619">
        <w:rPr>
          <w:rFonts w:ascii="Verdana" w:eastAsia="Times New Roman" w:hAnsi="Verdana" w:cs="Times New Roman"/>
          <w:sz w:val="24"/>
          <w:szCs w:val="24"/>
          <w:lang w:val="es-ES" w:eastAsia="es-ES"/>
        </w:rPr>
        <w:t xml:space="preserve"> especificaron que no y 1 no contestó. </w:t>
      </w:r>
    </w:p>
    <w:p w14:paraId="21A3237B" w14:textId="77777777" w:rsidR="000642E5" w:rsidRPr="00485619" w:rsidRDefault="000642E5" w:rsidP="00485619">
      <w:pPr>
        <w:spacing w:after="0" w:line="240" w:lineRule="auto"/>
        <w:jc w:val="both"/>
        <w:rPr>
          <w:rFonts w:ascii="Verdana" w:eastAsia="Times New Roman" w:hAnsi="Verdana" w:cs="Times New Roman"/>
          <w:sz w:val="24"/>
          <w:szCs w:val="24"/>
          <w:lang w:val="es-ES" w:eastAsia="es-ES"/>
        </w:rPr>
      </w:pPr>
    </w:p>
    <w:p w14:paraId="0A94F14A" w14:textId="77777777" w:rsidR="006A6EA9" w:rsidRPr="00485619" w:rsidRDefault="00005984"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 las 1</w:t>
      </w:r>
      <w:r w:rsidR="00A8408D" w:rsidRPr="00485619">
        <w:rPr>
          <w:rFonts w:ascii="Verdana" w:eastAsia="Times New Roman" w:hAnsi="Verdana" w:cs="Times New Roman"/>
          <w:sz w:val="24"/>
          <w:szCs w:val="24"/>
          <w:lang w:val="es-ES" w:eastAsia="es-ES"/>
        </w:rPr>
        <w:t>19</w:t>
      </w:r>
      <w:r w:rsidRPr="00485619">
        <w:rPr>
          <w:rFonts w:ascii="Verdana" w:eastAsia="Times New Roman" w:hAnsi="Verdana" w:cs="Times New Roman"/>
          <w:sz w:val="24"/>
          <w:szCs w:val="24"/>
          <w:lang w:val="es-ES" w:eastAsia="es-ES"/>
        </w:rPr>
        <w:t xml:space="preserve"> instituciones estudiadas</w:t>
      </w:r>
      <w:r w:rsidR="007636B5" w:rsidRPr="00485619">
        <w:rPr>
          <w:rFonts w:ascii="Verdana" w:eastAsia="Times New Roman" w:hAnsi="Verdana" w:cs="Times New Roman"/>
          <w:sz w:val="24"/>
          <w:szCs w:val="24"/>
          <w:lang w:val="es-ES" w:eastAsia="es-ES"/>
        </w:rPr>
        <w:t>, 10</w:t>
      </w:r>
      <w:r w:rsidRPr="00485619">
        <w:rPr>
          <w:rFonts w:ascii="Verdana" w:eastAsia="Times New Roman" w:hAnsi="Verdana" w:cs="Times New Roman"/>
          <w:sz w:val="24"/>
          <w:szCs w:val="24"/>
          <w:lang w:val="es-ES" w:eastAsia="es-ES"/>
        </w:rPr>
        <w:t xml:space="preserve">0 mencionaron </w:t>
      </w:r>
      <w:r w:rsidR="0091692D" w:rsidRPr="00485619">
        <w:rPr>
          <w:rFonts w:ascii="Verdana" w:eastAsia="Times New Roman" w:hAnsi="Verdana" w:cs="Times New Roman"/>
          <w:sz w:val="24"/>
          <w:szCs w:val="24"/>
          <w:lang w:val="es-ES" w:eastAsia="es-ES"/>
        </w:rPr>
        <w:t>conoce</w:t>
      </w:r>
      <w:r w:rsidR="00F953D8" w:rsidRPr="00485619">
        <w:rPr>
          <w:rFonts w:ascii="Verdana" w:eastAsia="Times New Roman" w:hAnsi="Verdana" w:cs="Times New Roman"/>
          <w:sz w:val="24"/>
          <w:szCs w:val="24"/>
          <w:lang w:val="es-ES" w:eastAsia="es-ES"/>
        </w:rPr>
        <w:t>r</w:t>
      </w:r>
      <w:r w:rsidR="0091692D"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y cumplir</w:t>
      </w:r>
      <w:r w:rsidR="0091692D" w:rsidRPr="00485619">
        <w:rPr>
          <w:rFonts w:ascii="Verdana" w:eastAsia="Times New Roman" w:hAnsi="Verdana" w:cs="Times New Roman"/>
          <w:sz w:val="24"/>
          <w:szCs w:val="24"/>
          <w:lang w:val="es-ES" w:eastAsia="es-ES"/>
        </w:rPr>
        <w:t xml:space="preserve"> la normativa nacional respecto </w:t>
      </w:r>
      <w:r w:rsidR="00F953D8" w:rsidRPr="00485619">
        <w:rPr>
          <w:rFonts w:ascii="Verdana" w:eastAsia="Times New Roman" w:hAnsi="Verdana" w:cs="Times New Roman"/>
          <w:sz w:val="24"/>
          <w:szCs w:val="24"/>
          <w:lang w:val="es-ES" w:eastAsia="es-ES"/>
        </w:rPr>
        <w:t>con el</w:t>
      </w:r>
      <w:r w:rsidR="0091692D" w:rsidRPr="00485619">
        <w:rPr>
          <w:rFonts w:ascii="Verdana" w:eastAsia="Times New Roman" w:hAnsi="Verdana" w:cs="Times New Roman"/>
          <w:sz w:val="24"/>
          <w:szCs w:val="24"/>
          <w:lang w:val="es-ES" w:eastAsia="es-ES"/>
        </w:rPr>
        <w:t xml:space="preserve"> acceso a los documentos (Art 24-28, 30 de la Constitución Política, Ley N°8968 Protección de la Persona frente al tratamiento de sus datos personales y su reglamento, Ley N° 9097 Regulación del Derecho de Petición, entre otras)</w:t>
      </w:r>
      <w:r w:rsidR="00AF44A9" w:rsidRPr="00485619">
        <w:rPr>
          <w:rFonts w:ascii="Verdana" w:eastAsia="Times New Roman" w:hAnsi="Verdana" w:cs="Times New Roman"/>
          <w:sz w:val="24"/>
          <w:szCs w:val="24"/>
          <w:lang w:val="es-ES" w:eastAsia="es-ES"/>
        </w:rPr>
        <w:t xml:space="preserve">, </w:t>
      </w:r>
      <w:r w:rsidR="00A8408D" w:rsidRPr="00485619">
        <w:rPr>
          <w:rFonts w:ascii="Verdana" w:eastAsia="Times New Roman" w:hAnsi="Verdana" w:cs="Times New Roman"/>
          <w:sz w:val="24"/>
          <w:szCs w:val="24"/>
          <w:lang w:val="es-ES" w:eastAsia="es-ES"/>
        </w:rPr>
        <w:t>18</w:t>
      </w:r>
      <w:r w:rsidR="00AF44A9" w:rsidRPr="00485619">
        <w:rPr>
          <w:rFonts w:ascii="Verdana" w:eastAsia="Times New Roman" w:hAnsi="Verdana" w:cs="Times New Roman"/>
          <w:sz w:val="24"/>
          <w:szCs w:val="24"/>
          <w:lang w:val="es-ES" w:eastAsia="es-ES"/>
        </w:rPr>
        <w:t xml:space="preserve"> de ellas </w:t>
      </w:r>
      <w:r w:rsidR="00F953D8" w:rsidRPr="00485619">
        <w:rPr>
          <w:rFonts w:ascii="Verdana" w:eastAsia="Times New Roman" w:hAnsi="Verdana" w:cs="Times New Roman"/>
          <w:sz w:val="24"/>
          <w:szCs w:val="24"/>
          <w:lang w:val="es-ES" w:eastAsia="es-ES"/>
        </w:rPr>
        <w:t>indicaron</w:t>
      </w:r>
      <w:r w:rsidR="00A8408D" w:rsidRPr="00485619">
        <w:rPr>
          <w:rFonts w:ascii="Verdana" w:eastAsia="Times New Roman" w:hAnsi="Verdana" w:cs="Times New Roman"/>
          <w:sz w:val="24"/>
          <w:szCs w:val="24"/>
          <w:lang w:val="es-ES" w:eastAsia="es-ES"/>
        </w:rPr>
        <w:t xml:space="preserve"> que lo hacían parcialmente y 1 </w:t>
      </w:r>
      <w:r w:rsidR="00AF44A9" w:rsidRPr="00485619">
        <w:rPr>
          <w:rFonts w:ascii="Verdana" w:eastAsia="Times New Roman" w:hAnsi="Verdana" w:cs="Times New Roman"/>
          <w:sz w:val="24"/>
          <w:szCs w:val="24"/>
          <w:lang w:val="es-ES" w:eastAsia="es-ES"/>
        </w:rPr>
        <w:t>determinó que no.</w:t>
      </w:r>
    </w:p>
    <w:p w14:paraId="0EF961ED"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102E83DD" w14:textId="77777777" w:rsidR="00ED25FE" w:rsidRPr="00485619" w:rsidRDefault="00ED25FE"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La cantidad de instituciones que tienen al servicio de los usuarios documentos electrónicos o rep</w:t>
      </w:r>
      <w:r w:rsidR="00A8408D" w:rsidRPr="00485619">
        <w:rPr>
          <w:rFonts w:ascii="Verdana" w:eastAsia="Times New Roman" w:hAnsi="Verdana" w:cs="Times New Roman"/>
          <w:sz w:val="24"/>
          <w:szCs w:val="24"/>
          <w:lang w:val="es-ES" w:eastAsia="es-ES"/>
        </w:rPr>
        <w:t>roducciones digitalizadas son 77</w:t>
      </w:r>
      <w:r w:rsidRPr="00485619">
        <w:rPr>
          <w:rFonts w:ascii="Verdana" w:eastAsia="Times New Roman" w:hAnsi="Verdana" w:cs="Times New Roman"/>
          <w:sz w:val="24"/>
          <w:szCs w:val="24"/>
          <w:lang w:val="es-ES" w:eastAsia="es-ES"/>
        </w:rPr>
        <w:t xml:space="preserve"> </w:t>
      </w:r>
      <w:r w:rsidR="00732C56" w:rsidRPr="00485619">
        <w:rPr>
          <w:rFonts w:ascii="Verdana" w:eastAsia="Times New Roman" w:hAnsi="Verdana" w:cs="Times New Roman"/>
          <w:sz w:val="24"/>
          <w:szCs w:val="24"/>
          <w:lang w:val="es-ES" w:eastAsia="es-ES"/>
        </w:rPr>
        <w:t>(64,7%)</w:t>
      </w:r>
      <w:r w:rsidR="00A8408D"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 xml:space="preserve">ante </w:t>
      </w:r>
      <w:r w:rsidR="00732C56" w:rsidRPr="00485619">
        <w:rPr>
          <w:rFonts w:ascii="Verdana" w:eastAsia="Times New Roman" w:hAnsi="Verdana" w:cs="Times New Roman"/>
          <w:sz w:val="24"/>
          <w:szCs w:val="24"/>
          <w:lang w:val="es-ES" w:eastAsia="es-ES"/>
        </w:rPr>
        <w:t>41(34,5%)</w:t>
      </w:r>
      <w:r w:rsidRPr="00485619">
        <w:rPr>
          <w:rFonts w:ascii="Verdana" w:eastAsia="Times New Roman" w:hAnsi="Verdana" w:cs="Times New Roman"/>
          <w:sz w:val="24"/>
          <w:szCs w:val="24"/>
          <w:lang w:val="es-ES" w:eastAsia="es-ES"/>
        </w:rPr>
        <w:t xml:space="preserve"> que manifest</w:t>
      </w:r>
      <w:r w:rsidR="00F953D8" w:rsidRPr="00485619">
        <w:rPr>
          <w:rFonts w:ascii="Verdana" w:eastAsia="Times New Roman" w:hAnsi="Verdana" w:cs="Times New Roman"/>
          <w:sz w:val="24"/>
          <w:szCs w:val="24"/>
          <w:lang w:val="es-ES" w:eastAsia="es-ES"/>
        </w:rPr>
        <w:t>aron no tener este tipo de documentos.</w:t>
      </w:r>
    </w:p>
    <w:p w14:paraId="638562B1" w14:textId="77777777" w:rsidR="00ED25FE" w:rsidRPr="00485619" w:rsidRDefault="00ED25FE" w:rsidP="00485619">
      <w:pPr>
        <w:spacing w:after="0" w:line="240" w:lineRule="auto"/>
        <w:jc w:val="both"/>
        <w:rPr>
          <w:rFonts w:ascii="Verdana" w:eastAsia="Times New Roman" w:hAnsi="Verdana" w:cs="Times New Roman"/>
          <w:sz w:val="24"/>
          <w:szCs w:val="24"/>
          <w:highlight w:val="yellow"/>
          <w:lang w:val="es-ES" w:eastAsia="es-ES"/>
        </w:rPr>
      </w:pPr>
    </w:p>
    <w:p w14:paraId="0F27FCFE" w14:textId="77777777" w:rsidR="006A6EA9" w:rsidRPr="00485619" w:rsidRDefault="00BC7EE5"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Por otra parte, 110</w:t>
      </w:r>
      <w:r w:rsidR="006A6EA9" w:rsidRPr="00485619">
        <w:rPr>
          <w:rFonts w:ascii="Verdana" w:eastAsia="Times New Roman" w:hAnsi="Verdana" w:cs="Times New Roman"/>
          <w:sz w:val="24"/>
          <w:szCs w:val="24"/>
          <w:lang w:val="es-ES" w:eastAsia="es-ES"/>
        </w:rPr>
        <w:t xml:space="preserve"> instituciones reportaron realizar transferencias de los archivos de gestión al archivo central a través de un procedimiento n</w:t>
      </w:r>
      <w:r w:rsidRPr="00485619">
        <w:rPr>
          <w:rFonts w:ascii="Verdana" w:eastAsia="Times New Roman" w:hAnsi="Verdana" w:cs="Times New Roman"/>
          <w:sz w:val="24"/>
          <w:szCs w:val="24"/>
          <w:lang w:val="es-ES" w:eastAsia="es-ES"/>
        </w:rPr>
        <w:t xml:space="preserve">ormalizado, </w:t>
      </w:r>
      <w:r w:rsidR="00732C56" w:rsidRPr="00485619">
        <w:rPr>
          <w:rFonts w:ascii="Verdana" w:eastAsia="Times New Roman" w:hAnsi="Verdana" w:cs="Times New Roman"/>
          <w:sz w:val="24"/>
          <w:szCs w:val="24"/>
          <w:lang w:val="es-ES" w:eastAsia="es-ES"/>
        </w:rPr>
        <w:t>8</w:t>
      </w:r>
      <w:r w:rsidR="006A6EA9" w:rsidRPr="00485619">
        <w:rPr>
          <w:rFonts w:ascii="Verdana" w:eastAsia="Times New Roman" w:hAnsi="Verdana" w:cs="Times New Roman"/>
          <w:sz w:val="24"/>
          <w:szCs w:val="24"/>
          <w:lang w:val="es-ES" w:eastAsia="es-ES"/>
        </w:rPr>
        <w:t xml:space="preserve"> indicaron no c</w:t>
      </w:r>
      <w:r w:rsidRPr="00485619">
        <w:rPr>
          <w:rFonts w:ascii="Verdana" w:eastAsia="Times New Roman" w:hAnsi="Verdana" w:cs="Times New Roman"/>
          <w:sz w:val="24"/>
          <w:szCs w:val="24"/>
          <w:lang w:val="es-ES" w:eastAsia="es-ES"/>
        </w:rPr>
        <w:t xml:space="preserve">ontar con dicho procedimiento, </w:t>
      </w:r>
      <w:r w:rsidR="006A6EA9" w:rsidRPr="00485619">
        <w:rPr>
          <w:rFonts w:ascii="Verdana" w:eastAsia="Times New Roman" w:hAnsi="Verdana" w:cs="Times New Roman"/>
          <w:sz w:val="24"/>
          <w:szCs w:val="24"/>
          <w:lang w:val="es-ES" w:eastAsia="es-ES"/>
        </w:rPr>
        <w:t>1 entidad no respondió la pregunta</w:t>
      </w:r>
      <w:r w:rsidR="00732C56" w:rsidRPr="00485619">
        <w:rPr>
          <w:rFonts w:ascii="Verdana" w:eastAsia="Times New Roman" w:hAnsi="Verdana" w:cs="Times New Roman"/>
          <w:sz w:val="24"/>
          <w:szCs w:val="24"/>
          <w:lang w:val="es-ES" w:eastAsia="es-ES"/>
        </w:rPr>
        <w:t>. De igual manera, 109</w:t>
      </w:r>
      <w:r w:rsidR="006A6EA9" w:rsidRPr="00485619">
        <w:rPr>
          <w:rFonts w:ascii="Verdana" w:eastAsia="Times New Roman" w:hAnsi="Verdana" w:cs="Times New Roman"/>
          <w:sz w:val="24"/>
          <w:szCs w:val="24"/>
          <w:lang w:val="es-ES" w:eastAsia="es-ES"/>
        </w:rPr>
        <w:t xml:space="preserve"> encargados de archivos centrales afirmaron recibir los documentos acompañad</w:t>
      </w:r>
      <w:r w:rsidR="00732C56" w:rsidRPr="00485619">
        <w:rPr>
          <w:rFonts w:ascii="Verdana" w:eastAsia="Times New Roman" w:hAnsi="Verdana" w:cs="Times New Roman"/>
          <w:sz w:val="24"/>
          <w:szCs w:val="24"/>
          <w:lang w:val="es-ES" w:eastAsia="es-ES"/>
        </w:rPr>
        <w:t>os de listas de remisión, sólo 9</w:t>
      </w:r>
      <w:r w:rsidR="006A6EA9" w:rsidRPr="00485619">
        <w:rPr>
          <w:rFonts w:ascii="Verdana" w:eastAsia="Times New Roman" w:hAnsi="Verdana" w:cs="Times New Roman"/>
          <w:sz w:val="24"/>
          <w:szCs w:val="24"/>
          <w:lang w:val="es-ES" w:eastAsia="es-ES"/>
        </w:rPr>
        <w:t xml:space="preserve"> no utilizan este mecanismo de c</w:t>
      </w:r>
      <w:r w:rsidRPr="00485619">
        <w:rPr>
          <w:rFonts w:ascii="Verdana" w:eastAsia="Times New Roman" w:hAnsi="Verdana" w:cs="Times New Roman"/>
          <w:sz w:val="24"/>
          <w:szCs w:val="24"/>
          <w:lang w:val="es-ES" w:eastAsia="es-ES"/>
        </w:rPr>
        <w:t xml:space="preserve">ontrol, </w:t>
      </w:r>
      <w:r w:rsidR="00732C56" w:rsidRPr="00485619">
        <w:rPr>
          <w:rFonts w:ascii="Verdana" w:eastAsia="Times New Roman" w:hAnsi="Verdana" w:cs="Times New Roman"/>
          <w:sz w:val="24"/>
          <w:szCs w:val="24"/>
          <w:lang w:val="es-ES" w:eastAsia="es-ES"/>
        </w:rPr>
        <w:t>uno no contestó</w:t>
      </w:r>
    </w:p>
    <w:p w14:paraId="0C2143D7"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73343EFB"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No obstante, cuando se </w:t>
      </w:r>
      <w:r w:rsidR="00892F53" w:rsidRPr="00485619">
        <w:rPr>
          <w:rFonts w:ascii="Verdana" w:eastAsia="Times New Roman" w:hAnsi="Verdana" w:cs="Times New Roman"/>
          <w:sz w:val="24"/>
          <w:szCs w:val="24"/>
          <w:lang w:val="es-ES" w:eastAsia="es-ES"/>
        </w:rPr>
        <w:t xml:space="preserve">verificó </w:t>
      </w:r>
      <w:r w:rsidRPr="00485619">
        <w:rPr>
          <w:rFonts w:ascii="Verdana" w:eastAsia="Times New Roman" w:hAnsi="Verdana" w:cs="Times New Roman"/>
          <w:sz w:val="24"/>
          <w:szCs w:val="24"/>
          <w:lang w:val="es-ES" w:eastAsia="es-ES"/>
        </w:rPr>
        <w:t xml:space="preserve">el uso de calendarios establecidos para recibir las transferencias documentales en el Archivo Central, </w:t>
      </w:r>
      <w:r w:rsidR="00732C56" w:rsidRPr="00485619">
        <w:rPr>
          <w:rFonts w:ascii="Verdana" w:eastAsia="Times New Roman" w:hAnsi="Verdana" w:cs="Times New Roman"/>
          <w:sz w:val="24"/>
          <w:szCs w:val="24"/>
          <w:lang w:val="es-ES" w:eastAsia="es-ES"/>
        </w:rPr>
        <w:t>51</w:t>
      </w:r>
      <w:r w:rsidR="00F953D8" w:rsidRPr="00485619">
        <w:rPr>
          <w:rFonts w:ascii="Verdana" w:eastAsia="Times New Roman" w:hAnsi="Verdana" w:cs="Times New Roman"/>
          <w:sz w:val="24"/>
          <w:szCs w:val="24"/>
          <w:lang w:val="es-ES" w:eastAsia="es-ES"/>
        </w:rPr>
        <w:t xml:space="preserve"> instituciones</w:t>
      </w:r>
      <w:r w:rsidR="00892F53" w:rsidRPr="00485619">
        <w:rPr>
          <w:rFonts w:ascii="Verdana" w:eastAsia="Times New Roman" w:hAnsi="Verdana" w:cs="Times New Roman"/>
          <w:sz w:val="24"/>
          <w:szCs w:val="24"/>
          <w:lang w:val="es-ES" w:eastAsia="es-ES"/>
        </w:rPr>
        <w:t xml:space="preserve"> informaron no programarlas, </w:t>
      </w:r>
      <w:r w:rsidR="00732C56" w:rsidRPr="00485619">
        <w:rPr>
          <w:rFonts w:ascii="Verdana" w:eastAsia="Times New Roman" w:hAnsi="Verdana" w:cs="Times New Roman"/>
          <w:sz w:val="24"/>
          <w:szCs w:val="24"/>
          <w:lang w:val="es-ES" w:eastAsia="es-ES"/>
        </w:rPr>
        <w:t>67</w:t>
      </w:r>
      <w:r w:rsidRPr="00485619">
        <w:rPr>
          <w:rFonts w:ascii="Verdana" w:eastAsia="Times New Roman" w:hAnsi="Verdana" w:cs="Times New Roman"/>
          <w:sz w:val="24"/>
          <w:szCs w:val="24"/>
          <w:lang w:val="es-ES" w:eastAsia="es-ES"/>
        </w:rPr>
        <w:t xml:space="preserve"> </w:t>
      </w:r>
      <w:r w:rsidR="00892F53" w:rsidRPr="00485619">
        <w:rPr>
          <w:rFonts w:ascii="Verdana" w:eastAsia="Times New Roman" w:hAnsi="Verdana" w:cs="Times New Roman"/>
          <w:sz w:val="24"/>
          <w:szCs w:val="24"/>
          <w:lang w:val="es-ES" w:eastAsia="es-ES"/>
        </w:rPr>
        <w:t>expresaron</w:t>
      </w:r>
      <w:r w:rsidRPr="00485619">
        <w:rPr>
          <w:rFonts w:ascii="Verdana" w:eastAsia="Times New Roman" w:hAnsi="Verdana" w:cs="Times New Roman"/>
          <w:sz w:val="24"/>
          <w:szCs w:val="24"/>
          <w:lang w:val="es-ES" w:eastAsia="es-ES"/>
        </w:rPr>
        <w:t xml:space="preserve"> planific</w:t>
      </w:r>
      <w:r w:rsidR="00892F53" w:rsidRPr="00485619">
        <w:rPr>
          <w:rFonts w:ascii="Verdana" w:eastAsia="Times New Roman" w:hAnsi="Verdana" w:cs="Times New Roman"/>
          <w:sz w:val="24"/>
          <w:szCs w:val="24"/>
          <w:lang w:val="es-ES" w:eastAsia="es-ES"/>
        </w:rPr>
        <w:t xml:space="preserve">ar y programar esta actividad, </w:t>
      </w:r>
      <w:r w:rsidRPr="00485619">
        <w:rPr>
          <w:rFonts w:ascii="Verdana" w:eastAsia="Times New Roman" w:hAnsi="Verdana" w:cs="Times New Roman"/>
          <w:sz w:val="24"/>
          <w:szCs w:val="24"/>
          <w:lang w:val="es-ES" w:eastAsia="es-ES"/>
        </w:rPr>
        <w:t>1 no proporcionó información al respecto</w:t>
      </w:r>
      <w:r w:rsidR="00732C56" w:rsidRPr="00485619">
        <w:rPr>
          <w:rFonts w:ascii="Verdana" w:eastAsia="Times New Roman" w:hAnsi="Verdana" w:cs="Times New Roman"/>
          <w:sz w:val="24"/>
          <w:szCs w:val="24"/>
          <w:lang w:val="es-ES" w:eastAsia="es-ES"/>
        </w:rPr>
        <w:t>.</w:t>
      </w:r>
    </w:p>
    <w:p w14:paraId="36612602" w14:textId="77777777" w:rsidR="00C46AF4" w:rsidRPr="00485619" w:rsidRDefault="00C46AF4" w:rsidP="00485619">
      <w:pPr>
        <w:spacing w:after="0" w:line="240" w:lineRule="auto"/>
        <w:jc w:val="both"/>
        <w:rPr>
          <w:rFonts w:ascii="Verdana" w:eastAsia="Times New Roman" w:hAnsi="Verdana" w:cs="Times New Roman"/>
          <w:sz w:val="24"/>
          <w:szCs w:val="24"/>
          <w:lang w:val="es-ES" w:eastAsia="es-ES"/>
        </w:rPr>
      </w:pPr>
    </w:p>
    <w:p w14:paraId="47FBFA43" w14:textId="77777777" w:rsidR="008E487F" w:rsidRPr="00485619" w:rsidRDefault="008E487F"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Ante </w:t>
      </w:r>
      <w:r w:rsidR="00EF399B" w:rsidRPr="00485619">
        <w:rPr>
          <w:rFonts w:ascii="Verdana" w:eastAsia="Times New Roman" w:hAnsi="Verdana" w:cs="Times New Roman"/>
          <w:sz w:val="24"/>
          <w:szCs w:val="24"/>
          <w:lang w:val="es-ES" w:eastAsia="es-ES"/>
        </w:rPr>
        <w:t>la pregunta ¿se han transferido</w:t>
      </w:r>
      <w:r w:rsidRPr="00485619">
        <w:rPr>
          <w:rFonts w:ascii="Verdana" w:eastAsia="Times New Roman" w:hAnsi="Verdana" w:cs="Times New Roman"/>
          <w:sz w:val="24"/>
          <w:szCs w:val="24"/>
          <w:lang w:val="es-ES" w:eastAsia="es-ES"/>
        </w:rPr>
        <w:t xml:space="preserve"> documentos en soporte el</w:t>
      </w:r>
      <w:r w:rsidR="00732C56" w:rsidRPr="00485619">
        <w:rPr>
          <w:rFonts w:ascii="Verdana" w:eastAsia="Times New Roman" w:hAnsi="Verdana" w:cs="Times New Roman"/>
          <w:sz w:val="24"/>
          <w:szCs w:val="24"/>
          <w:lang w:val="es-ES" w:eastAsia="es-ES"/>
        </w:rPr>
        <w:t>ectrónico al Archivo Central? 27</w:t>
      </w:r>
      <w:r w:rsidRPr="00485619">
        <w:rPr>
          <w:rFonts w:ascii="Verdana" w:eastAsia="Times New Roman" w:hAnsi="Verdana" w:cs="Times New Roman"/>
          <w:sz w:val="24"/>
          <w:szCs w:val="24"/>
          <w:lang w:val="es-ES" w:eastAsia="es-ES"/>
        </w:rPr>
        <w:t xml:space="preserve"> entidades </w:t>
      </w:r>
      <w:r w:rsidR="0004624E" w:rsidRPr="00485619">
        <w:rPr>
          <w:rFonts w:ascii="Verdana" w:eastAsia="Times New Roman" w:hAnsi="Verdana" w:cs="Times New Roman"/>
          <w:sz w:val="24"/>
          <w:szCs w:val="24"/>
          <w:lang w:val="es-ES" w:eastAsia="es-ES"/>
        </w:rPr>
        <w:t>evidenciaron</w:t>
      </w:r>
      <w:r w:rsidR="00732C56" w:rsidRPr="00485619">
        <w:rPr>
          <w:rFonts w:ascii="Verdana" w:eastAsia="Times New Roman" w:hAnsi="Verdana" w:cs="Times New Roman"/>
          <w:sz w:val="24"/>
          <w:szCs w:val="24"/>
          <w:lang w:val="es-ES" w:eastAsia="es-ES"/>
        </w:rPr>
        <w:t xml:space="preserve"> que sí, 90</w:t>
      </w:r>
      <w:r w:rsidRPr="00485619">
        <w:rPr>
          <w:rFonts w:ascii="Verdana" w:eastAsia="Times New Roman" w:hAnsi="Verdana" w:cs="Times New Roman"/>
          <w:sz w:val="24"/>
          <w:szCs w:val="24"/>
          <w:lang w:val="es-ES" w:eastAsia="es-ES"/>
        </w:rPr>
        <w:t xml:space="preserve"> </w:t>
      </w:r>
      <w:r w:rsidR="00EF399B" w:rsidRPr="00485619">
        <w:rPr>
          <w:rFonts w:ascii="Verdana" w:eastAsia="Times New Roman" w:hAnsi="Verdana" w:cs="Times New Roman"/>
          <w:sz w:val="24"/>
          <w:szCs w:val="24"/>
          <w:lang w:val="es-ES" w:eastAsia="es-ES"/>
        </w:rPr>
        <w:t>afirmaron</w:t>
      </w:r>
      <w:r w:rsidR="00732C56" w:rsidRPr="00485619">
        <w:rPr>
          <w:rFonts w:ascii="Verdana" w:eastAsia="Times New Roman" w:hAnsi="Verdana" w:cs="Times New Roman"/>
          <w:sz w:val="24"/>
          <w:szCs w:val="24"/>
          <w:lang w:val="es-ES" w:eastAsia="es-ES"/>
        </w:rPr>
        <w:t xml:space="preserve"> que no, 2 no respondieron.</w:t>
      </w:r>
    </w:p>
    <w:p w14:paraId="28BCA685" w14:textId="77777777" w:rsidR="008E487F" w:rsidRPr="00485619" w:rsidRDefault="008E487F" w:rsidP="00485619">
      <w:pPr>
        <w:spacing w:after="0" w:line="240" w:lineRule="auto"/>
        <w:jc w:val="both"/>
        <w:rPr>
          <w:rFonts w:ascii="Verdana" w:eastAsia="Times New Roman" w:hAnsi="Verdana" w:cs="Times New Roman"/>
          <w:sz w:val="24"/>
          <w:szCs w:val="24"/>
          <w:highlight w:val="yellow"/>
          <w:lang w:val="es-ES" w:eastAsia="es-ES"/>
        </w:rPr>
      </w:pPr>
    </w:p>
    <w:p w14:paraId="684D0F69"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 relación con la capacitación a los encar</w:t>
      </w:r>
      <w:r w:rsidR="003925D4" w:rsidRPr="00485619">
        <w:rPr>
          <w:rFonts w:ascii="Verdana" w:eastAsia="Times New Roman" w:hAnsi="Verdana" w:cs="Times New Roman"/>
          <w:sz w:val="24"/>
          <w:szCs w:val="24"/>
          <w:lang w:val="es-ES" w:eastAsia="es-ES"/>
        </w:rPr>
        <w:t>g</w:t>
      </w:r>
      <w:r w:rsidR="00732C56" w:rsidRPr="00485619">
        <w:rPr>
          <w:rFonts w:ascii="Verdana" w:eastAsia="Times New Roman" w:hAnsi="Verdana" w:cs="Times New Roman"/>
          <w:sz w:val="24"/>
          <w:szCs w:val="24"/>
          <w:lang w:val="es-ES" w:eastAsia="es-ES"/>
        </w:rPr>
        <w:t xml:space="preserve">ados de archivos de gestión, 101 </w:t>
      </w:r>
      <w:r w:rsidRPr="00485619">
        <w:rPr>
          <w:rFonts w:ascii="Verdana" w:eastAsia="Times New Roman" w:hAnsi="Verdana" w:cs="Times New Roman"/>
          <w:sz w:val="24"/>
          <w:szCs w:val="24"/>
          <w:lang w:val="es-ES" w:eastAsia="es-ES"/>
        </w:rPr>
        <w:t>archivos centrales señ</w:t>
      </w:r>
      <w:r w:rsidR="00732C56" w:rsidRPr="00485619">
        <w:rPr>
          <w:rFonts w:ascii="Verdana" w:eastAsia="Times New Roman" w:hAnsi="Verdana" w:cs="Times New Roman"/>
          <w:sz w:val="24"/>
          <w:szCs w:val="24"/>
          <w:lang w:val="es-ES" w:eastAsia="es-ES"/>
        </w:rPr>
        <w:t>alaron brindar este servicio, 17</w:t>
      </w:r>
      <w:r w:rsidRPr="00485619">
        <w:rPr>
          <w:rFonts w:ascii="Verdana" w:eastAsia="Times New Roman" w:hAnsi="Verdana" w:cs="Times New Roman"/>
          <w:sz w:val="24"/>
          <w:szCs w:val="24"/>
          <w:lang w:val="es-ES" w:eastAsia="es-ES"/>
        </w:rPr>
        <w:t xml:space="preserve"> no lo hacen</w:t>
      </w:r>
      <w:r w:rsidR="00732C56" w:rsidRPr="00485619">
        <w:rPr>
          <w:rFonts w:ascii="Verdana" w:eastAsia="Times New Roman" w:hAnsi="Verdana" w:cs="Times New Roman"/>
          <w:sz w:val="24"/>
          <w:szCs w:val="24"/>
          <w:lang w:val="es-ES" w:eastAsia="es-ES"/>
        </w:rPr>
        <w:t>, 1 no respondió</w:t>
      </w:r>
    </w:p>
    <w:p w14:paraId="3A81BC59" w14:textId="77777777" w:rsidR="00C539D5" w:rsidRPr="00485619" w:rsidRDefault="00C539D5" w:rsidP="00485619">
      <w:pPr>
        <w:spacing w:after="0" w:line="240" w:lineRule="auto"/>
        <w:jc w:val="both"/>
        <w:rPr>
          <w:rFonts w:ascii="Verdana" w:eastAsia="Times New Roman" w:hAnsi="Verdana" w:cs="Times New Roman"/>
          <w:sz w:val="24"/>
          <w:szCs w:val="24"/>
          <w:lang w:val="es-ES" w:eastAsia="es-ES"/>
        </w:rPr>
      </w:pPr>
    </w:p>
    <w:p w14:paraId="1E237475" w14:textId="77777777" w:rsidR="00B5277A" w:rsidRPr="00485619" w:rsidRDefault="00B5277A"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Las instituciones que indicaron que no realizan capacitaciones son: </w:t>
      </w:r>
    </w:p>
    <w:p w14:paraId="513762FA" w14:textId="77777777" w:rsidR="00B50093" w:rsidRPr="00485619" w:rsidRDefault="00B50093" w:rsidP="00485619">
      <w:pPr>
        <w:spacing w:after="0" w:line="240" w:lineRule="auto"/>
        <w:jc w:val="both"/>
        <w:rPr>
          <w:rFonts w:ascii="Verdana" w:eastAsia="Times New Roman" w:hAnsi="Verdana" w:cs="Times New Roman"/>
          <w:sz w:val="24"/>
          <w:szCs w:val="24"/>
          <w:highlight w:val="yellow"/>
          <w:lang w:val="es-ES" w:eastAsia="es-ES"/>
        </w:rPr>
      </w:pPr>
    </w:p>
    <w:p w14:paraId="54DCECAE" w14:textId="77777777" w:rsidR="00732C56" w:rsidRPr="00485619" w:rsidRDefault="00C46AF4" w:rsidP="00485619">
      <w:pPr>
        <w:pStyle w:val="Prrafodelista"/>
        <w:numPr>
          <w:ilvl w:val="0"/>
          <w:numId w:val="39"/>
        </w:numPr>
        <w:jc w:val="both"/>
        <w:rPr>
          <w:rFonts w:ascii="Verdana" w:hAnsi="Verdana"/>
        </w:rPr>
      </w:pPr>
      <w:r w:rsidRPr="00485619">
        <w:rPr>
          <w:rFonts w:ascii="Verdana" w:hAnsi="Verdana"/>
        </w:rPr>
        <w:t>Municipalidad d</w:t>
      </w:r>
      <w:r w:rsidR="00732C56" w:rsidRPr="00485619">
        <w:rPr>
          <w:rFonts w:ascii="Verdana" w:hAnsi="Verdana"/>
        </w:rPr>
        <w:t>e Liberia</w:t>
      </w:r>
    </w:p>
    <w:p w14:paraId="3A70C393" w14:textId="77777777" w:rsidR="00732C56" w:rsidRPr="00485619" w:rsidRDefault="00C46AF4" w:rsidP="00485619">
      <w:pPr>
        <w:pStyle w:val="Prrafodelista"/>
        <w:numPr>
          <w:ilvl w:val="0"/>
          <w:numId w:val="39"/>
        </w:numPr>
        <w:jc w:val="both"/>
        <w:rPr>
          <w:rFonts w:ascii="Verdana" w:hAnsi="Verdana"/>
        </w:rPr>
      </w:pPr>
      <w:r w:rsidRPr="00485619">
        <w:rPr>
          <w:rFonts w:ascii="Verdana" w:hAnsi="Verdana"/>
        </w:rPr>
        <w:t>Instituto Nacional de Vivienda y</w:t>
      </w:r>
      <w:r w:rsidR="00732C56" w:rsidRPr="00485619">
        <w:rPr>
          <w:rFonts w:ascii="Verdana" w:hAnsi="Verdana"/>
        </w:rPr>
        <w:t xml:space="preserve"> Urbanismo</w:t>
      </w:r>
    </w:p>
    <w:p w14:paraId="130BBB9E" w14:textId="77777777" w:rsidR="00732C56" w:rsidRPr="00485619" w:rsidRDefault="00C46AF4" w:rsidP="00485619">
      <w:pPr>
        <w:pStyle w:val="Prrafodelista"/>
        <w:numPr>
          <w:ilvl w:val="0"/>
          <w:numId w:val="39"/>
        </w:numPr>
        <w:jc w:val="both"/>
        <w:rPr>
          <w:rFonts w:ascii="Verdana" w:hAnsi="Verdana"/>
        </w:rPr>
      </w:pPr>
      <w:r w:rsidRPr="00485619">
        <w:rPr>
          <w:rFonts w:ascii="Verdana" w:hAnsi="Verdana"/>
        </w:rPr>
        <w:t>Banco Central de Costa Rica</w:t>
      </w:r>
    </w:p>
    <w:p w14:paraId="44294E60" w14:textId="77777777" w:rsidR="00732C56" w:rsidRPr="00485619" w:rsidRDefault="00C46AF4" w:rsidP="00485619">
      <w:pPr>
        <w:pStyle w:val="Prrafodelista"/>
        <w:numPr>
          <w:ilvl w:val="0"/>
          <w:numId w:val="39"/>
        </w:numPr>
        <w:jc w:val="both"/>
        <w:rPr>
          <w:rFonts w:ascii="Verdana" w:hAnsi="Verdana"/>
        </w:rPr>
      </w:pPr>
      <w:r w:rsidRPr="00485619">
        <w:rPr>
          <w:rFonts w:ascii="Verdana" w:hAnsi="Verdana"/>
        </w:rPr>
        <w:t>Instituto Nacional de Estadísticas y</w:t>
      </w:r>
      <w:r w:rsidR="00732C56" w:rsidRPr="00485619">
        <w:rPr>
          <w:rFonts w:ascii="Verdana" w:hAnsi="Verdana"/>
        </w:rPr>
        <w:t xml:space="preserve"> Censos</w:t>
      </w:r>
    </w:p>
    <w:p w14:paraId="7FB098A1" w14:textId="77777777" w:rsidR="00732C56" w:rsidRPr="00485619" w:rsidRDefault="00C539D5" w:rsidP="00485619">
      <w:pPr>
        <w:pStyle w:val="Prrafodelista"/>
        <w:numPr>
          <w:ilvl w:val="0"/>
          <w:numId w:val="39"/>
        </w:numPr>
        <w:jc w:val="both"/>
        <w:rPr>
          <w:rFonts w:ascii="Verdana" w:hAnsi="Verdana"/>
        </w:rPr>
      </w:pPr>
      <w:r w:rsidRPr="00485619">
        <w:rPr>
          <w:rFonts w:ascii="Verdana" w:hAnsi="Verdana"/>
        </w:rPr>
        <w:t>Junta de Administración Portuaria y Desarrollo Económico de la Vertiente Atlántica (</w:t>
      </w:r>
      <w:r w:rsidR="00732C56" w:rsidRPr="00485619">
        <w:rPr>
          <w:rFonts w:ascii="Verdana" w:hAnsi="Verdana"/>
        </w:rPr>
        <w:t>Japdeva</w:t>
      </w:r>
      <w:r w:rsidRPr="00485619">
        <w:rPr>
          <w:rFonts w:ascii="Verdana" w:hAnsi="Verdana"/>
        </w:rPr>
        <w:t>)</w:t>
      </w:r>
    </w:p>
    <w:p w14:paraId="34DC5DF0" w14:textId="77777777" w:rsidR="00732C56" w:rsidRPr="00485619" w:rsidRDefault="00C46AF4" w:rsidP="00485619">
      <w:pPr>
        <w:pStyle w:val="Prrafodelista"/>
        <w:numPr>
          <w:ilvl w:val="0"/>
          <w:numId w:val="39"/>
        </w:numPr>
        <w:jc w:val="both"/>
        <w:rPr>
          <w:rFonts w:ascii="Verdana" w:hAnsi="Verdana"/>
        </w:rPr>
      </w:pPr>
      <w:r w:rsidRPr="00485619">
        <w:rPr>
          <w:rFonts w:ascii="Verdana" w:hAnsi="Verdana"/>
        </w:rPr>
        <w:t>Municipalidad d</w:t>
      </w:r>
      <w:r w:rsidR="00732C56" w:rsidRPr="00485619">
        <w:rPr>
          <w:rFonts w:ascii="Verdana" w:hAnsi="Verdana"/>
        </w:rPr>
        <w:t>e Puntarenas</w:t>
      </w:r>
    </w:p>
    <w:p w14:paraId="050C8700" w14:textId="77777777" w:rsidR="00732C56" w:rsidRPr="00485619" w:rsidRDefault="00732C56" w:rsidP="00485619">
      <w:pPr>
        <w:pStyle w:val="Prrafodelista"/>
        <w:numPr>
          <w:ilvl w:val="0"/>
          <w:numId w:val="39"/>
        </w:numPr>
        <w:jc w:val="both"/>
        <w:rPr>
          <w:rFonts w:ascii="Verdana" w:hAnsi="Verdana"/>
        </w:rPr>
      </w:pPr>
      <w:r w:rsidRPr="00485619">
        <w:rPr>
          <w:rFonts w:ascii="Verdana" w:hAnsi="Verdana"/>
        </w:rPr>
        <w:t>Municipalid</w:t>
      </w:r>
      <w:r w:rsidR="00C46AF4" w:rsidRPr="00485619">
        <w:rPr>
          <w:rFonts w:ascii="Verdana" w:hAnsi="Verdana"/>
        </w:rPr>
        <w:t>ad d</w:t>
      </w:r>
      <w:r w:rsidRPr="00485619">
        <w:rPr>
          <w:rFonts w:ascii="Verdana" w:hAnsi="Verdana"/>
        </w:rPr>
        <w:t>e San Rafael De Heredia</w:t>
      </w:r>
    </w:p>
    <w:p w14:paraId="4CA3B110" w14:textId="77777777" w:rsidR="00732C56" w:rsidRPr="00485619" w:rsidRDefault="00C46AF4" w:rsidP="00485619">
      <w:pPr>
        <w:pStyle w:val="Prrafodelista"/>
        <w:numPr>
          <w:ilvl w:val="0"/>
          <w:numId w:val="39"/>
        </w:numPr>
        <w:jc w:val="both"/>
        <w:rPr>
          <w:rFonts w:ascii="Verdana" w:hAnsi="Verdana"/>
        </w:rPr>
      </w:pPr>
      <w:r w:rsidRPr="00485619">
        <w:rPr>
          <w:rFonts w:ascii="Verdana" w:hAnsi="Verdana"/>
        </w:rPr>
        <w:t>Municipalidad d</w:t>
      </w:r>
      <w:r w:rsidR="00732C56" w:rsidRPr="00485619">
        <w:rPr>
          <w:rFonts w:ascii="Verdana" w:hAnsi="Verdana"/>
        </w:rPr>
        <w:t>e Orotina</w:t>
      </w:r>
    </w:p>
    <w:p w14:paraId="3ECC9724" w14:textId="77777777" w:rsidR="00732C56" w:rsidRPr="00485619" w:rsidRDefault="00C46AF4" w:rsidP="00485619">
      <w:pPr>
        <w:pStyle w:val="Prrafodelista"/>
        <w:numPr>
          <w:ilvl w:val="0"/>
          <w:numId w:val="39"/>
        </w:numPr>
        <w:jc w:val="both"/>
        <w:rPr>
          <w:rFonts w:ascii="Verdana" w:hAnsi="Verdana"/>
        </w:rPr>
      </w:pPr>
      <w:r w:rsidRPr="00485619">
        <w:rPr>
          <w:rFonts w:ascii="Verdana" w:hAnsi="Verdana"/>
        </w:rPr>
        <w:t>Municipalidad d</w:t>
      </w:r>
      <w:r w:rsidR="00C539D5" w:rsidRPr="00485619">
        <w:rPr>
          <w:rFonts w:ascii="Verdana" w:hAnsi="Verdana"/>
        </w:rPr>
        <w:t>e Santo Domingo d</w:t>
      </w:r>
      <w:r w:rsidR="00732C56" w:rsidRPr="00485619">
        <w:rPr>
          <w:rFonts w:ascii="Verdana" w:hAnsi="Verdana"/>
        </w:rPr>
        <w:t>e Heredia</w:t>
      </w:r>
    </w:p>
    <w:p w14:paraId="49CF223C" w14:textId="77777777" w:rsidR="00732C56" w:rsidRPr="00485619" w:rsidRDefault="00732C56" w:rsidP="00485619">
      <w:pPr>
        <w:pStyle w:val="Prrafodelista"/>
        <w:numPr>
          <w:ilvl w:val="0"/>
          <w:numId w:val="39"/>
        </w:numPr>
        <w:jc w:val="both"/>
        <w:rPr>
          <w:rFonts w:ascii="Verdana" w:hAnsi="Verdana"/>
        </w:rPr>
      </w:pPr>
      <w:r w:rsidRPr="00485619">
        <w:rPr>
          <w:rFonts w:ascii="Verdana" w:hAnsi="Verdana"/>
        </w:rPr>
        <w:t>Tribunal Servicio Civil</w:t>
      </w:r>
    </w:p>
    <w:p w14:paraId="2A612FB0" w14:textId="77777777" w:rsidR="00732C56" w:rsidRPr="00485619" w:rsidRDefault="00732C56" w:rsidP="00485619">
      <w:pPr>
        <w:pStyle w:val="Prrafodelista"/>
        <w:numPr>
          <w:ilvl w:val="0"/>
          <w:numId w:val="39"/>
        </w:numPr>
        <w:jc w:val="both"/>
        <w:rPr>
          <w:rFonts w:ascii="Verdana" w:hAnsi="Verdana"/>
        </w:rPr>
      </w:pPr>
      <w:r w:rsidRPr="00485619">
        <w:rPr>
          <w:rFonts w:ascii="Verdana" w:hAnsi="Verdana"/>
        </w:rPr>
        <w:t>Editorial Costa Rica</w:t>
      </w:r>
    </w:p>
    <w:p w14:paraId="6D6F4F3F" w14:textId="77777777" w:rsidR="00732C56" w:rsidRPr="00485619" w:rsidRDefault="00C539D5" w:rsidP="00485619">
      <w:pPr>
        <w:pStyle w:val="Prrafodelista"/>
        <w:numPr>
          <w:ilvl w:val="0"/>
          <w:numId w:val="39"/>
        </w:numPr>
        <w:jc w:val="both"/>
        <w:rPr>
          <w:rFonts w:ascii="Verdana" w:hAnsi="Verdana"/>
        </w:rPr>
      </w:pPr>
      <w:r w:rsidRPr="00485619">
        <w:rPr>
          <w:rFonts w:ascii="Verdana" w:hAnsi="Verdana"/>
        </w:rPr>
        <w:t>Municipalidad de Montes d</w:t>
      </w:r>
      <w:r w:rsidR="00732C56" w:rsidRPr="00485619">
        <w:rPr>
          <w:rFonts w:ascii="Verdana" w:hAnsi="Verdana"/>
        </w:rPr>
        <w:t>e Oro</w:t>
      </w:r>
    </w:p>
    <w:p w14:paraId="62401BB2" w14:textId="77777777" w:rsidR="00732C56" w:rsidRPr="00485619" w:rsidRDefault="00FB5B6D" w:rsidP="00485619">
      <w:pPr>
        <w:pStyle w:val="Prrafodelista"/>
        <w:numPr>
          <w:ilvl w:val="0"/>
          <w:numId w:val="39"/>
        </w:numPr>
        <w:jc w:val="both"/>
        <w:rPr>
          <w:rFonts w:ascii="Verdana" w:hAnsi="Verdana"/>
        </w:rPr>
      </w:pPr>
      <w:r w:rsidRPr="00485619">
        <w:rPr>
          <w:rFonts w:ascii="Verdana" w:hAnsi="Verdana"/>
        </w:rPr>
        <w:t>Consejo de Seguridad V</w:t>
      </w:r>
      <w:r w:rsidR="00732C56" w:rsidRPr="00485619">
        <w:rPr>
          <w:rFonts w:ascii="Verdana" w:hAnsi="Verdana"/>
        </w:rPr>
        <w:t>i</w:t>
      </w:r>
      <w:r w:rsidRPr="00485619">
        <w:rPr>
          <w:rFonts w:ascii="Verdana" w:hAnsi="Verdana"/>
        </w:rPr>
        <w:t>al</w:t>
      </w:r>
    </w:p>
    <w:p w14:paraId="50736696" w14:textId="77777777" w:rsidR="00732C56" w:rsidRPr="00485619" w:rsidRDefault="00732C56" w:rsidP="00485619">
      <w:pPr>
        <w:pStyle w:val="Prrafodelista"/>
        <w:numPr>
          <w:ilvl w:val="0"/>
          <w:numId w:val="39"/>
        </w:numPr>
        <w:jc w:val="both"/>
        <w:rPr>
          <w:rFonts w:ascii="Verdana" w:hAnsi="Verdana"/>
        </w:rPr>
      </w:pPr>
      <w:r w:rsidRPr="00485619">
        <w:rPr>
          <w:rFonts w:ascii="Verdana" w:hAnsi="Verdana"/>
        </w:rPr>
        <w:t xml:space="preserve">Centro Cultural </w:t>
      </w:r>
      <w:r w:rsidR="00FB5B6D" w:rsidRPr="00485619">
        <w:rPr>
          <w:rFonts w:ascii="Verdana" w:hAnsi="Verdana"/>
        </w:rPr>
        <w:t>José</w:t>
      </w:r>
      <w:r w:rsidRPr="00485619">
        <w:rPr>
          <w:rFonts w:ascii="Verdana" w:hAnsi="Verdana"/>
        </w:rPr>
        <w:t xml:space="preserve"> Figueres Ferrer</w:t>
      </w:r>
    </w:p>
    <w:p w14:paraId="76336A0C" w14:textId="77777777" w:rsidR="00732C56" w:rsidRPr="00485619" w:rsidRDefault="00FB5B6D" w:rsidP="00485619">
      <w:pPr>
        <w:pStyle w:val="Prrafodelista"/>
        <w:numPr>
          <w:ilvl w:val="0"/>
          <w:numId w:val="39"/>
        </w:numPr>
        <w:jc w:val="both"/>
        <w:rPr>
          <w:rFonts w:ascii="Verdana" w:hAnsi="Verdana"/>
        </w:rPr>
      </w:pPr>
      <w:r w:rsidRPr="00485619">
        <w:rPr>
          <w:rFonts w:ascii="Verdana" w:hAnsi="Verdana"/>
        </w:rPr>
        <w:t>Municipalidad d</w:t>
      </w:r>
      <w:r w:rsidR="00C539D5" w:rsidRPr="00485619">
        <w:rPr>
          <w:rFonts w:ascii="Verdana" w:hAnsi="Verdana"/>
        </w:rPr>
        <w:t>e Vázquez d</w:t>
      </w:r>
      <w:r w:rsidR="00732C56" w:rsidRPr="00485619">
        <w:rPr>
          <w:rFonts w:ascii="Verdana" w:hAnsi="Verdana"/>
        </w:rPr>
        <w:t>e Coronado</w:t>
      </w:r>
    </w:p>
    <w:p w14:paraId="2D783B3B" w14:textId="77777777" w:rsidR="00732C56" w:rsidRPr="00485619" w:rsidRDefault="00732C56" w:rsidP="00485619">
      <w:pPr>
        <w:pStyle w:val="Prrafodelista"/>
        <w:numPr>
          <w:ilvl w:val="0"/>
          <w:numId w:val="39"/>
        </w:numPr>
        <w:jc w:val="both"/>
        <w:rPr>
          <w:rFonts w:ascii="Verdana" w:hAnsi="Verdana"/>
        </w:rPr>
      </w:pPr>
      <w:r w:rsidRPr="00485619">
        <w:rPr>
          <w:rFonts w:ascii="Verdana" w:hAnsi="Verdana"/>
        </w:rPr>
        <w:t>Supe</w:t>
      </w:r>
      <w:r w:rsidR="00FB5B6D" w:rsidRPr="00485619">
        <w:rPr>
          <w:rFonts w:ascii="Verdana" w:hAnsi="Verdana"/>
        </w:rPr>
        <w:t>rintendencia d</w:t>
      </w:r>
      <w:r w:rsidRPr="00485619">
        <w:rPr>
          <w:rFonts w:ascii="Verdana" w:hAnsi="Verdana"/>
        </w:rPr>
        <w:t>e Telecomunicaciones</w:t>
      </w:r>
    </w:p>
    <w:p w14:paraId="78851D6C" w14:textId="77777777" w:rsidR="00557717" w:rsidRPr="00485619" w:rsidRDefault="00FB5B6D" w:rsidP="00485619">
      <w:pPr>
        <w:pStyle w:val="Prrafodelista"/>
        <w:numPr>
          <w:ilvl w:val="0"/>
          <w:numId w:val="39"/>
        </w:numPr>
        <w:jc w:val="both"/>
        <w:rPr>
          <w:rFonts w:ascii="Verdana" w:hAnsi="Verdana"/>
        </w:rPr>
      </w:pPr>
      <w:r w:rsidRPr="00485619">
        <w:rPr>
          <w:rFonts w:ascii="Verdana" w:hAnsi="Verdana"/>
        </w:rPr>
        <w:t>Municipalidad d</w:t>
      </w:r>
      <w:r w:rsidR="00732C56" w:rsidRPr="00485619">
        <w:rPr>
          <w:rFonts w:ascii="Verdana" w:hAnsi="Verdana"/>
        </w:rPr>
        <w:t>e Coto Brus</w:t>
      </w:r>
    </w:p>
    <w:p w14:paraId="52F4D9FD" w14:textId="77777777" w:rsidR="00C539D5" w:rsidRPr="00485619" w:rsidRDefault="00C539D5" w:rsidP="00485619">
      <w:pPr>
        <w:pStyle w:val="Prrafodelista"/>
        <w:ind w:left="720"/>
        <w:jc w:val="both"/>
        <w:rPr>
          <w:rFonts w:ascii="Verdana" w:hAnsi="Verdana"/>
          <w:highlight w:val="yellow"/>
        </w:rPr>
      </w:pPr>
    </w:p>
    <w:p w14:paraId="165BA544" w14:textId="77777777" w:rsidR="007D79FC" w:rsidRPr="00485619" w:rsidRDefault="007D79FC" w:rsidP="00485619">
      <w:pPr>
        <w:pStyle w:val="Prrafodelista"/>
        <w:ind w:left="720"/>
        <w:jc w:val="both"/>
        <w:rPr>
          <w:rFonts w:ascii="Verdana" w:hAnsi="Verdana"/>
          <w:highlight w:val="yellow"/>
        </w:rPr>
      </w:pPr>
      <w:r w:rsidRPr="00485619">
        <w:rPr>
          <w:rFonts w:ascii="Verdana" w:hAnsi="Verdana"/>
          <w:noProof/>
        </w:rPr>
        <w:drawing>
          <wp:inline distT="0" distB="0" distL="0" distR="0" wp14:anchorId="5DF6B451" wp14:editId="789645B9">
            <wp:extent cx="5191125" cy="276225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D0C351" w14:textId="77777777" w:rsidR="00C539D5" w:rsidRPr="00485619" w:rsidRDefault="00C539D5" w:rsidP="00485619">
      <w:pPr>
        <w:spacing w:after="0" w:line="240" w:lineRule="auto"/>
        <w:jc w:val="both"/>
        <w:rPr>
          <w:rFonts w:ascii="Verdana" w:eastAsia="Times New Roman" w:hAnsi="Verdana" w:cs="Times New Roman"/>
          <w:sz w:val="24"/>
          <w:szCs w:val="24"/>
          <w:highlight w:val="yellow"/>
          <w:lang w:val="es-ES" w:eastAsia="es-ES"/>
        </w:rPr>
      </w:pPr>
    </w:p>
    <w:p w14:paraId="05E1BD7E"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A continuación un gráfico que refleja la relación entre las transferencias normalizadas y su calendarización. </w:t>
      </w:r>
    </w:p>
    <w:p w14:paraId="402F2DB1" w14:textId="77777777" w:rsidR="00626CAD" w:rsidRPr="00485619" w:rsidRDefault="00626CAD" w:rsidP="00485619">
      <w:pPr>
        <w:spacing w:after="0" w:line="240" w:lineRule="auto"/>
        <w:jc w:val="both"/>
        <w:rPr>
          <w:rFonts w:ascii="Verdana" w:eastAsia="Times New Roman" w:hAnsi="Verdana" w:cs="Times New Roman"/>
          <w:b/>
          <w:bCs/>
          <w:sz w:val="24"/>
          <w:szCs w:val="24"/>
          <w:highlight w:val="yellow"/>
          <w:lang w:val="es-ES" w:eastAsia="es-ES"/>
        </w:rPr>
      </w:pPr>
    </w:p>
    <w:p w14:paraId="6CF8AB80" w14:textId="77777777" w:rsidR="009F25FF" w:rsidRPr="00485619" w:rsidRDefault="007D79FC" w:rsidP="00407698">
      <w:pPr>
        <w:keepNext/>
        <w:spacing w:after="0" w:line="240" w:lineRule="auto"/>
        <w:jc w:val="center"/>
        <w:outlineLvl w:val="4"/>
        <w:rPr>
          <w:rFonts w:ascii="Verdana" w:eastAsia="Times New Roman" w:hAnsi="Verdana" w:cs="Times New Roman"/>
          <w:b/>
          <w:bCs/>
          <w:sz w:val="24"/>
          <w:szCs w:val="24"/>
          <w:highlight w:val="yellow"/>
          <w:lang w:val="es-ES" w:eastAsia="es-ES"/>
        </w:rPr>
      </w:pPr>
      <w:r w:rsidRPr="00485619">
        <w:rPr>
          <w:rFonts w:ascii="Verdana" w:hAnsi="Verdana"/>
          <w:noProof/>
          <w:sz w:val="24"/>
          <w:szCs w:val="24"/>
          <w:lang w:val="es-ES" w:eastAsia="es-ES"/>
        </w:rPr>
        <w:drawing>
          <wp:inline distT="0" distB="0" distL="0" distR="0" wp14:anchorId="604FE85A" wp14:editId="7491BFCD">
            <wp:extent cx="4991100" cy="2719389"/>
            <wp:effectExtent l="0" t="0" r="0" b="508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D8434A" w14:textId="77777777" w:rsidR="003434C5" w:rsidRPr="00485619" w:rsidRDefault="003434C5" w:rsidP="00485619">
      <w:pPr>
        <w:spacing w:after="0" w:line="240" w:lineRule="auto"/>
        <w:jc w:val="both"/>
        <w:rPr>
          <w:rFonts w:ascii="Verdana" w:eastAsia="Times New Roman" w:hAnsi="Verdana" w:cs="Arial"/>
          <w:b/>
          <w:bCs/>
          <w:sz w:val="24"/>
          <w:szCs w:val="24"/>
          <w:highlight w:val="yellow"/>
          <w:lang w:val="es-ES" w:eastAsia="es-ES"/>
        </w:rPr>
      </w:pPr>
    </w:p>
    <w:p w14:paraId="759A3609" w14:textId="77777777" w:rsidR="006A6EA9" w:rsidRPr="00485619" w:rsidRDefault="006A6EA9" w:rsidP="00485619">
      <w:pPr>
        <w:pStyle w:val="Ttulo2"/>
        <w:jc w:val="both"/>
        <w:rPr>
          <w:rFonts w:ascii="Verdana" w:hAnsi="Verdana"/>
          <w:sz w:val="24"/>
          <w:szCs w:val="24"/>
        </w:rPr>
      </w:pPr>
      <w:bookmarkStart w:id="14" w:name="_Toc444697511"/>
      <w:r w:rsidRPr="00485619">
        <w:rPr>
          <w:rFonts w:ascii="Verdana" w:hAnsi="Verdana"/>
          <w:sz w:val="24"/>
          <w:szCs w:val="24"/>
        </w:rPr>
        <w:t>5. Infraestructura del Archivo Central y conservación documental</w:t>
      </w:r>
      <w:bookmarkEnd w:id="14"/>
    </w:p>
    <w:p w14:paraId="3817F467" w14:textId="77777777" w:rsidR="003434C5" w:rsidRPr="00485619" w:rsidRDefault="003434C5" w:rsidP="00485619">
      <w:pPr>
        <w:spacing w:after="0" w:line="240" w:lineRule="auto"/>
        <w:jc w:val="both"/>
        <w:rPr>
          <w:rFonts w:ascii="Verdana" w:eastAsia="Times New Roman" w:hAnsi="Verdana" w:cs="Arial"/>
          <w:b/>
          <w:bCs/>
          <w:sz w:val="24"/>
          <w:szCs w:val="24"/>
          <w:lang w:val="es-ES" w:eastAsia="es-ES"/>
        </w:rPr>
      </w:pPr>
    </w:p>
    <w:p w14:paraId="0A07D416" w14:textId="77777777" w:rsidR="002B6ED3"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Se debe resaltar que</w:t>
      </w:r>
      <w:r w:rsidR="00D16A38" w:rsidRPr="00485619">
        <w:rPr>
          <w:rFonts w:ascii="Verdana" w:eastAsia="Times New Roman" w:hAnsi="Verdana" w:cs="Times New Roman"/>
          <w:sz w:val="24"/>
          <w:szCs w:val="24"/>
          <w:lang w:val="es-ES" w:eastAsia="es-ES"/>
        </w:rPr>
        <w:t xml:space="preserve"> de las entidades analizadas 115 (96,6%)</w:t>
      </w:r>
      <w:r w:rsidRPr="00485619">
        <w:rPr>
          <w:rFonts w:ascii="Verdana" w:eastAsia="Times New Roman" w:hAnsi="Verdana" w:cs="Times New Roman"/>
          <w:sz w:val="24"/>
          <w:szCs w:val="24"/>
          <w:lang w:val="es-ES" w:eastAsia="es-ES"/>
        </w:rPr>
        <w:t xml:space="preserve"> indicaron tener un local establecido para el</w:t>
      </w:r>
      <w:r w:rsidR="009C22CC" w:rsidRPr="00485619">
        <w:rPr>
          <w:rFonts w:ascii="Verdana" w:eastAsia="Times New Roman" w:hAnsi="Verdana" w:cs="Times New Roman"/>
          <w:sz w:val="24"/>
          <w:szCs w:val="24"/>
          <w:lang w:val="es-ES" w:eastAsia="es-ES"/>
        </w:rPr>
        <w:t xml:space="preserve"> Archivo Central, mientras que </w:t>
      </w:r>
      <w:r w:rsidR="00D16A38" w:rsidRPr="00485619">
        <w:rPr>
          <w:rFonts w:ascii="Verdana" w:eastAsia="Times New Roman" w:hAnsi="Verdana" w:cs="Times New Roman"/>
          <w:sz w:val="24"/>
          <w:szCs w:val="24"/>
          <w:lang w:val="es-ES" w:eastAsia="es-ES"/>
        </w:rPr>
        <w:t>2</w:t>
      </w:r>
      <w:r w:rsidRPr="00485619">
        <w:rPr>
          <w:rFonts w:ascii="Verdana" w:eastAsia="Times New Roman" w:hAnsi="Verdana" w:cs="Times New Roman"/>
          <w:sz w:val="24"/>
          <w:szCs w:val="24"/>
          <w:lang w:val="es-ES" w:eastAsia="es-ES"/>
        </w:rPr>
        <w:t xml:space="preserve"> de e</w:t>
      </w:r>
      <w:r w:rsidR="00EF399B" w:rsidRPr="00485619">
        <w:rPr>
          <w:rFonts w:ascii="Verdana" w:eastAsia="Times New Roman" w:hAnsi="Verdana" w:cs="Times New Roman"/>
          <w:sz w:val="24"/>
          <w:szCs w:val="24"/>
          <w:lang w:val="es-ES" w:eastAsia="es-ES"/>
        </w:rPr>
        <w:t>llas señalaron</w:t>
      </w:r>
      <w:r w:rsidRPr="00485619">
        <w:rPr>
          <w:rFonts w:ascii="Verdana" w:eastAsia="Times New Roman" w:hAnsi="Verdana" w:cs="Times New Roman"/>
          <w:sz w:val="24"/>
          <w:szCs w:val="24"/>
          <w:lang w:val="es-ES" w:eastAsia="es-ES"/>
        </w:rPr>
        <w:t xml:space="preserve"> que no lo tienen</w:t>
      </w:r>
      <w:r w:rsidR="009C22CC" w:rsidRPr="00485619">
        <w:rPr>
          <w:rFonts w:ascii="Verdana" w:eastAsia="Times New Roman" w:hAnsi="Verdana" w:cs="Times New Roman"/>
          <w:sz w:val="24"/>
          <w:szCs w:val="24"/>
          <w:lang w:val="es-ES" w:eastAsia="es-ES"/>
        </w:rPr>
        <w:t xml:space="preserve"> </w:t>
      </w:r>
      <w:r w:rsidR="00F45199" w:rsidRPr="00485619">
        <w:rPr>
          <w:rFonts w:ascii="Verdana" w:eastAsia="Times New Roman" w:hAnsi="Verdana" w:cs="Times New Roman"/>
          <w:sz w:val="24"/>
          <w:szCs w:val="24"/>
          <w:lang w:val="es-ES" w:eastAsia="es-ES"/>
        </w:rPr>
        <w:t xml:space="preserve">Refinería </w:t>
      </w:r>
      <w:r w:rsidR="002B6ED3" w:rsidRPr="00485619">
        <w:rPr>
          <w:rFonts w:ascii="Verdana" w:eastAsia="Times New Roman" w:hAnsi="Verdana" w:cs="Times New Roman"/>
          <w:sz w:val="24"/>
          <w:szCs w:val="24"/>
          <w:lang w:val="es-ES" w:eastAsia="es-ES"/>
        </w:rPr>
        <w:t>C</w:t>
      </w:r>
      <w:r w:rsidR="00F45199" w:rsidRPr="00485619">
        <w:rPr>
          <w:rFonts w:ascii="Verdana" w:eastAsia="Times New Roman" w:hAnsi="Verdana" w:cs="Times New Roman"/>
          <w:sz w:val="24"/>
          <w:szCs w:val="24"/>
          <w:lang w:val="es-ES" w:eastAsia="es-ES"/>
        </w:rPr>
        <w:t>ostarricense de Petróleo</w:t>
      </w:r>
      <w:r w:rsidR="002B6ED3" w:rsidRPr="00485619">
        <w:rPr>
          <w:rFonts w:ascii="Verdana" w:eastAsia="Times New Roman" w:hAnsi="Verdana" w:cs="Times New Roman"/>
          <w:sz w:val="24"/>
          <w:szCs w:val="24"/>
          <w:lang w:val="es-ES" w:eastAsia="es-ES"/>
        </w:rPr>
        <w:t xml:space="preserve"> </w:t>
      </w:r>
      <w:r w:rsidR="00D16A38" w:rsidRPr="00485619">
        <w:rPr>
          <w:rFonts w:ascii="Verdana" w:eastAsia="Times New Roman" w:hAnsi="Verdana" w:cs="Times New Roman"/>
          <w:sz w:val="24"/>
          <w:szCs w:val="24"/>
          <w:lang w:val="es-ES" w:eastAsia="es-ES"/>
        </w:rPr>
        <w:t xml:space="preserve">y </w:t>
      </w:r>
      <w:r w:rsidR="00F45199" w:rsidRPr="00485619">
        <w:rPr>
          <w:rFonts w:ascii="Verdana" w:eastAsia="Times New Roman" w:hAnsi="Verdana" w:cs="Times New Roman"/>
          <w:sz w:val="24"/>
          <w:szCs w:val="24"/>
          <w:lang w:val="es-ES" w:eastAsia="es-ES"/>
        </w:rPr>
        <w:t>Empresa Servicios Públicos d</w:t>
      </w:r>
      <w:r w:rsidR="002B6ED3" w:rsidRPr="00485619">
        <w:rPr>
          <w:rFonts w:ascii="Verdana" w:eastAsia="Times New Roman" w:hAnsi="Verdana" w:cs="Times New Roman"/>
          <w:sz w:val="24"/>
          <w:szCs w:val="24"/>
          <w:lang w:val="es-ES" w:eastAsia="es-ES"/>
        </w:rPr>
        <w:t xml:space="preserve">e Heredia </w:t>
      </w:r>
      <w:r w:rsidR="009C22CC" w:rsidRPr="00485619">
        <w:rPr>
          <w:rFonts w:ascii="Verdana" w:eastAsia="Times New Roman" w:hAnsi="Verdana" w:cs="Times New Roman"/>
          <w:sz w:val="24"/>
          <w:szCs w:val="24"/>
          <w:lang w:val="es-ES" w:eastAsia="es-ES"/>
        </w:rPr>
        <w:t>y 2 no respondieron a la pregunta (</w:t>
      </w:r>
      <w:r w:rsidR="00F45199" w:rsidRPr="00485619">
        <w:rPr>
          <w:rFonts w:ascii="Verdana" w:eastAsia="Times New Roman" w:hAnsi="Verdana" w:cs="Times New Roman"/>
          <w:sz w:val="24"/>
          <w:szCs w:val="24"/>
          <w:lang w:val="es-ES" w:eastAsia="es-ES"/>
        </w:rPr>
        <w:t>Municipalidad d</w:t>
      </w:r>
      <w:r w:rsidR="00D16A38" w:rsidRPr="00485619">
        <w:rPr>
          <w:rFonts w:ascii="Verdana" w:eastAsia="Times New Roman" w:hAnsi="Verdana" w:cs="Times New Roman"/>
          <w:sz w:val="24"/>
          <w:szCs w:val="24"/>
          <w:lang w:val="es-ES" w:eastAsia="es-ES"/>
        </w:rPr>
        <w:t>e La Unión</w:t>
      </w:r>
      <w:r w:rsidR="002B6ED3" w:rsidRPr="00485619">
        <w:rPr>
          <w:rFonts w:ascii="Verdana" w:eastAsia="Times New Roman" w:hAnsi="Verdana" w:cs="Times New Roman"/>
          <w:sz w:val="24"/>
          <w:szCs w:val="24"/>
          <w:lang w:val="es-ES" w:eastAsia="es-ES"/>
        </w:rPr>
        <w:t xml:space="preserve"> y </w:t>
      </w:r>
      <w:r w:rsidR="00F45199" w:rsidRPr="00485619">
        <w:rPr>
          <w:rFonts w:ascii="Verdana" w:eastAsia="Times New Roman" w:hAnsi="Verdana" w:cs="Times New Roman"/>
          <w:sz w:val="24"/>
          <w:szCs w:val="24"/>
          <w:lang w:val="es-ES" w:eastAsia="es-ES"/>
        </w:rPr>
        <w:t>Ministerio de Vivienda y</w:t>
      </w:r>
      <w:r w:rsidR="00D16A38" w:rsidRPr="00485619">
        <w:rPr>
          <w:rFonts w:ascii="Verdana" w:eastAsia="Times New Roman" w:hAnsi="Verdana" w:cs="Times New Roman"/>
          <w:sz w:val="24"/>
          <w:szCs w:val="24"/>
          <w:lang w:val="es-ES" w:eastAsia="es-ES"/>
        </w:rPr>
        <w:t xml:space="preserve"> Asentamientos Humanos</w:t>
      </w:r>
      <w:r w:rsidR="009C22CC" w:rsidRPr="00485619">
        <w:rPr>
          <w:rFonts w:ascii="Verdana" w:eastAsia="Times New Roman" w:hAnsi="Verdana" w:cs="Times New Roman"/>
          <w:sz w:val="24"/>
          <w:szCs w:val="24"/>
          <w:lang w:val="es-ES" w:eastAsia="es-ES"/>
        </w:rPr>
        <w:t>)</w:t>
      </w:r>
      <w:r w:rsidR="00C539D5" w:rsidRPr="00485619">
        <w:rPr>
          <w:rFonts w:ascii="Verdana" w:eastAsia="Times New Roman" w:hAnsi="Verdana" w:cs="Times New Roman"/>
          <w:sz w:val="24"/>
          <w:szCs w:val="24"/>
          <w:lang w:val="es-ES" w:eastAsia="es-ES"/>
        </w:rPr>
        <w:t>.</w:t>
      </w:r>
    </w:p>
    <w:p w14:paraId="695FFA1A" w14:textId="77777777" w:rsidR="00C539D5" w:rsidRPr="00485619" w:rsidRDefault="00C539D5" w:rsidP="00485619">
      <w:pPr>
        <w:spacing w:after="0" w:line="240" w:lineRule="auto"/>
        <w:jc w:val="both"/>
        <w:rPr>
          <w:rFonts w:ascii="Verdana" w:eastAsia="Times New Roman" w:hAnsi="Verdana" w:cs="Times New Roman"/>
          <w:sz w:val="24"/>
          <w:szCs w:val="24"/>
          <w:lang w:val="es-ES" w:eastAsia="es-ES"/>
        </w:rPr>
      </w:pPr>
    </w:p>
    <w:p w14:paraId="220A946F"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 cuanto a la antigüedad de las construcciones que albergan los local</w:t>
      </w:r>
      <w:r w:rsidR="0090027D" w:rsidRPr="00485619">
        <w:rPr>
          <w:rFonts w:ascii="Verdana" w:eastAsia="Times New Roman" w:hAnsi="Verdana" w:cs="Times New Roman"/>
          <w:sz w:val="24"/>
          <w:szCs w:val="24"/>
          <w:lang w:val="es-ES" w:eastAsia="es-ES"/>
        </w:rPr>
        <w:t>es de los Arc</w:t>
      </w:r>
      <w:r w:rsidR="00BF4F51" w:rsidRPr="00485619">
        <w:rPr>
          <w:rFonts w:ascii="Verdana" w:eastAsia="Times New Roman" w:hAnsi="Verdana" w:cs="Times New Roman"/>
          <w:sz w:val="24"/>
          <w:szCs w:val="24"/>
          <w:lang w:val="es-ES" w:eastAsia="es-ES"/>
        </w:rPr>
        <w:t>hivos Centrales, 94 (80,3%)</w:t>
      </w:r>
      <w:r w:rsidRPr="00485619">
        <w:rPr>
          <w:rFonts w:ascii="Verdana" w:eastAsia="Times New Roman" w:hAnsi="Verdana" w:cs="Times New Roman"/>
          <w:sz w:val="24"/>
          <w:szCs w:val="24"/>
          <w:lang w:val="es-ES" w:eastAsia="es-ES"/>
        </w:rPr>
        <w:t xml:space="preserve"> instituciones mencionaron que osci</w:t>
      </w:r>
      <w:r w:rsidR="00BF4F51" w:rsidRPr="00485619">
        <w:rPr>
          <w:rFonts w:ascii="Verdana" w:eastAsia="Times New Roman" w:hAnsi="Verdana" w:cs="Times New Roman"/>
          <w:sz w:val="24"/>
          <w:szCs w:val="24"/>
          <w:lang w:val="es-ES" w:eastAsia="es-ES"/>
        </w:rPr>
        <w:t>la entre los 0 y los 45 años, 21</w:t>
      </w:r>
      <w:r w:rsidRPr="00485619">
        <w:rPr>
          <w:rFonts w:ascii="Verdana" w:eastAsia="Times New Roman" w:hAnsi="Verdana" w:cs="Times New Roman"/>
          <w:sz w:val="24"/>
          <w:szCs w:val="24"/>
          <w:lang w:val="es-ES" w:eastAsia="es-ES"/>
        </w:rPr>
        <w:t xml:space="preserve"> se encuentran ubicados en estructuras con</w:t>
      </w:r>
      <w:r w:rsidR="0090027D" w:rsidRPr="00485619">
        <w:rPr>
          <w:rFonts w:ascii="Verdana" w:eastAsia="Times New Roman" w:hAnsi="Verdana" w:cs="Times New Roman"/>
          <w:sz w:val="24"/>
          <w:szCs w:val="24"/>
          <w:lang w:val="es-ES" w:eastAsia="es-ES"/>
        </w:rPr>
        <w:t xml:space="preserve"> más de 45 años de edificadas, </w:t>
      </w:r>
      <w:r w:rsidR="00BF4F51" w:rsidRPr="00485619">
        <w:rPr>
          <w:rFonts w:ascii="Verdana" w:eastAsia="Times New Roman" w:hAnsi="Verdana" w:cs="Times New Roman"/>
          <w:sz w:val="24"/>
          <w:szCs w:val="24"/>
          <w:lang w:val="es-ES" w:eastAsia="es-ES"/>
        </w:rPr>
        <w:t xml:space="preserve">2 </w:t>
      </w:r>
      <w:r w:rsidRPr="00485619">
        <w:rPr>
          <w:rFonts w:ascii="Verdana" w:eastAsia="Times New Roman" w:hAnsi="Verdana" w:cs="Times New Roman"/>
          <w:sz w:val="24"/>
          <w:szCs w:val="24"/>
          <w:lang w:val="es-ES" w:eastAsia="es-ES"/>
        </w:rPr>
        <w:t>no respondieron</w:t>
      </w:r>
      <w:r w:rsidR="00BF4F51" w:rsidRPr="00485619">
        <w:rPr>
          <w:rFonts w:ascii="Verdana" w:eastAsia="Times New Roman" w:hAnsi="Verdana" w:cs="Times New Roman"/>
          <w:sz w:val="24"/>
          <w:szCs w:val="24"/>
          <w:lang w:val="es-ES" w:eastAsia="es-ES"/>
        </w:rPr>
        <w:t>.</w:t>
      </w:r>
    </w:p>
    <w:p w14:paraId="0AED29C3" w14:textId="77777777" w:rsidR="002B6ED3" w:rsidRPr="00485619" w:rsidRDefault="002B6ED3" w:rsidP="00485619">
      <w:pPr>
        <w:spacing w:after="0" w:line="240" w:lineRule="auto"/>
        <w:jc w:val="both"/>
        <w:rPr>
          <w:rFonts w:ascii="Verdana" w:eastAsia="Times New Roman" w:hAnsi="Verdana" w:cs="Times New Roman"/>
          <w:sz w:val="24"/>
          <w:szCs w:val="24"/>
          <w:lang w:val="es-ES" w:eastAsia="es-ES"/>
        </w:rPr>
      </w:pPr>
    </w:p>
    <w:tbl>
      <w:tblPr>
        <w:tblW w:w="6237" w:type="dxa"/>
        <w:jc w:val="center"/>
        <w:tblCellMar>
          <w:left w:w="70" w:type="dxa"/>
          <w:right w:w="70" w:type="dxa"/>
        </w:tblCellMar>
        <w:tblLook w:val="04A0" w:firstRow="1" w:lastRow="0" w:firstColumn="1" w:lastColumn="0" w:noHBand="0" w:noVBand="1"/>
      </w:tblPr>
      <w:tblGrid>
        <w:gridCol w:w="2268"/>
        <w:gridCol w:w="2127"/>
        <w:gridCol w:w="1842"/>
      </w:tblGrid>
      <w:tr w:rsidR="00BF4F51" w:rsidRPr="00407698" w14:paraId="7793428A" w14:textId="77777777" w:rsidTr="00BF4F51">
        <w:trPr>
          <w:trHeight w:val="300"/>
          <w:jc w:val="center"/>
        </w:trPr>
        <w:tc>
          <w:tcPr>
            <w:tcW w:w="6237" w:type="dxa"/>
            <w:gridSpan w:val="3"/>
            <w:tcBorders>
              <w:top w:val="nil"/>
              <w:left w:val="nil"/>
              <w:bottom w:val="nil"/>
              <w:right w:val="nil"/>
            </w:tcBorders>
            <w:shd w:val="clear" w:color="auto" w:fill="auto"/>
            <w:noWrap/>
            <w:vAlign w:val="bottom"/>
            <w:hideMark/>
          </w:tcPr>
          <w:p w14:paraId="4767E399" w14:textId="77777777" w:rsidR="00BF4F51" w:rsidRPr="00407698" w:rsidRDefault="00C539D5" w:rsidP="00407698">
            <w:pPr>
              <w:spacing w:after="0" w:line="240" w:lineRule="auto"/>
              <w:jc w:val="center"/>
              <w:rPr>
                <w:rFonts w:ascii="Verdana" w:eastAsia="Times New Roman" w:hAnsi="Verdana" w:cs="Arial"/>
                <w:b/>
                <w:bCs/>
                <w:lang w:eastAsia="es-CR"/>
              </w:rPr>
            </w:pPr>
            <w:r w:rsidRPr="00407698">
              <w:rPr>
                <w:rFonts w:ascii="Verdana" w:eastAsia="Times New Roman" w:hAnsi="Verdana" w:cs="Arial"/>
                <w:b/>
                <w:bCs/>
                <w:lang w:val="es-ES" w:eastAsia="es-CR"/>
              </w:rPr>
              <w:t>Cuadro 3</w:t>
            </w:r>
          </w:p>
        </w:tc>
      </w:tr>
      <w:tr w:rsidR="00BF4F51" w:rsidRPr="00407698" w14:paraId="4D3B0BBB" w14:textId="77777777" w:rsidTr="00BF4F51">
        <w:trPr>
          <w:trHeight w:val="660"/>
          <w:jc w:val="center"/>
        </w:trPr>
        <w:tc>
          <w:tcPr>
            <w:tcW w:w="6237" w:type="dxa"/>
            <w:gridSpan w:val="3"/>
            <w:tcBorders>
              <w:top w:val="nil"/>
              <w:left w:val="nil"/>
              <w:bottom w:val="single" w:sz="4" w:space="0" w:color="auto"/>
              <w:right w:val="nil"/>
            </w:tcBorders>
            <w:shd w:val="clear" w:color="auto" w:fill="auto"/>
            <w:vAlign w:val="bottom"/>
            <w:hideMark/>
          </w:tcPr>
          <w:p w14:paraId="676C9FCB" w14:textId="77777777" w:rsidR="00BF4F51" w:rsidRPr="00407698" w:rsidRDefault="00BF4F51" w:rsidP="00407698">
            <w:pPr>
              <w:spacing w:after="0" w:line="240" w:lineRule="auto"/>
              <w:jc w:val="center"/>
              <w:rPr>
                <w:rFonts w:ascii="Verdana" w:eastAsia="Times New Roman" w:hAnsi="Verdana" w:cs="Arial"/>
                <w:b/>
                <w:bCs/>
                <w:lang w:eastAsia="es-CR"/>
              </w:rPr>
            </w:pPr>
            <w:r w:rsidRPr="00407698">
              <w:rPr>
                <w:rFonts w:ascii="Verdana" w:eastAsia="Times New Roman" w:hAnsi="Verdana" w:cs="Arial"/>
                <w:b/>
                <w:bCs/>
                <w:lang w:val="es-ES" w:eastAsia="es-CR"/>
              </w:rPr>
              <w:t>Antigüedad de las edificaciones de locales de Archivos Centrales, periodo 2014- 2015</w:t>
            </w:r>
          </w:p>
        </w:tc>
      </w:tr>
      <w:tr w:rsidR="00BF4F51" w:rsidRPr="00407698" w14:paraId="7220E099" w14:textId="77777777" w:rsidTr="00BF4F51">
        <w:trPr>
          <w:trHeight w:val="300"/>
          <w:jc w:val="center"/>
        </w:trPr>
        <w:tc>
          <w:tcPr>
            <w:tcW w:w="2268" w:type="dxa"/>
            <w:tcBorders>
              <w:top w:val="nil"/>
              <w:left w:val="nil"/>
              <w:bottom w:val="single" w:sz="4" w:space="0" w:color="auto"/>
              <w:right w:val="nil"/>
            </w:tcBorders>
            <w:shd w:val="clear" w:color="auto" w:fill="auto"/>
            <w:noWrap/>
            <w:vAlign w:val="bottom"/>
            <w:hideMark/>
          </w:tcPr>
          <w:p w14:paraId="6D3DEEBB" w14:textId="77777777" w:rsidR="00BF4F51" w:rsidRPr="00407698" w:rsidRDefault="00BF4F51" w:rsidP="00485619">
            <w:pPr>
              <w:spacing w:after="0" w:line="240" w:lineRule="auto"/>
              <w:jc w:val="both"/>
              <w:rPr>
                <w:rFonts w:ascii="Verdana" w:eastAsia="Times New Roman" w:hAnsi="Verdana" w:cs="Arial"/>
                <w:b/>
                <w:bCs/>
                <w:lang w:eastAsia="es-CR"/>
              </w:rPr>
            </w:pPr>
            <w:r w:rsidRPr="00407698">
              <w:rPr>
                <w:rFonts w:ascii="Verdana" w:eastAsia="Times New Roman" w:hAnsi="Verdana" w:cs="Arial"/>
                <w:b/>
                <w:bCs/>
                <w:lang w:val="es-ES" w:eastAsia="es-CR"/>
              </w:rPr>
              <w:t>Antigüedad</w:t>
            </w:r>
          </w:p>
        </w:tc>
        <w:tc>
          <w:tcPr>
            <w:tcW w:w="2127" w:type="dxa"/>
            <w:tcBorders>
              <w:top w:val="nil"/>
              <w:left w:val="nil"/>
              <w:bottom w:val="single" w:sz="4" w:space="0" w:color="auto"/>
              <w:right w:val="nil"/>
            </w:tcBorders>
            <w:shd w:val="clear" w:color="auto" w:fill="auto"/>
            <w:noWrap/>
            <w:vAlign w:val="bottom"/>
            <w:hideMark/>
          </w:tcPr>
          <w:p w14:paraId="7BFC680D" w14:textId="77777777" w:rsidR="00BF4F51" w:rsidRPr="00407698" w:rsidRDefault="00BF4F51" w:rsidP="00485619">
            <w:pPr>
              <w:spacing w:after="0" w:line="240" w:lineRule="auto"/>
              <w:jc w:val="both"/>
              <w:rPr>
                <w:rFonts w:ascii="Verdana" w:eastAsia="Times New Roman" w:hAnsi="Verdana" w:cs="Arial"/>
                <w:b/>
                <w:bCs/>
                <w:lang w:eastAsia="es-CR"/>
              </w:rPr>
            </w:pPr>
            <w:r w:rsidRPr="00407698">
              <w:rPr>
                <w:rFonts w:ascii="Verdana" w:eastAsia="Times New Roman" w:hAnsi="Verdana" w:cs="Arial"/>
                <w:b/>
                <w:bCs/>
                <w:lang w:eastAsia="es-CR"/>
              </w:rPr>
              <w:t>Frecuencia</w:t>
            </w:r>
          </w:p>
        </w:tc>
        <w:tc>
          <w:tcPr>
            <w:tcW w:w="1842" w:type="dxa"/>
            <w:tcBorders>
              <w:top w:val="nil"/>
              <w:left w:val="nil"/>
              <w:bottom w:val="single" w:sz="4" w:space="0" w:color="auto"/>
              <w:right w:val="nil"/>
            </w:tcBorders>
            <w:shd w:val="clear" w:color="auto" w:fill="auto"/>
            <w:noWrap/>
            <w:vAlign w:val="bottom"/>
            <w:hideMark/>
          </w:tcPr>
          <w:p w14:paraId="1D30BF20" w14:textId="77777777" w:rsidR="00BF4F51" w:rsidRPr="00407698" w:rsidRDefault="00BF4F51" w:rsidP="00485619">
            <w:pPr>
              <w:spacing w:after="0" w:line="240" w:lineRule="auto"/>
              <w:jc w:val="both"/>
              <w:rPr>
                <w:rFonts w:ascii="Verdana" w:eastAsia="Times New Roman" w:hAnsi="Verdana" w:cs="Arial"/>
                <w:b/>
                <w:bCs/>
                <w:lang w:eastAsia="es-CR"/>
              </w:rPr>
            </w:pPr>
            <w:r w:rsidRPr="00407698">
              <w:rPr>
                <w:rFonts w:ascii="Verdana" w:eastAsia="Times New Roman" w:hAnsi="Verdana" w:cs="Arial"/>
                <w:b/>
                <w:bCs/>
                <w:lang w:eastAsia="es-CR"/>
              </w:rPr>
              <w:t>Porcentaje</w:t>
            </w:r>
          </w:p>
        </w:tc>
      </w:tr>
      <w:tr w:rsidR="00BF4F51" w:rsidRPr="00407698" w14:paraId="20643C33" w14:textId="77777777" w:rsidTr="00BF4F51">
        <w:trPr>
          <w:trHeight w:val="300"/>
          <w:jc w:val="center"/>
        </w:trPr>
        <w:tc>
          <w:tcPr>
            <w:tcW w:w="2268" w:type="dxa"/>
            <w:tcBorders>
              <w:top w:val="nil"/>
              <w:left w:val="nil"/>
              <w:bottom w:val="nil"/>
              <w:right w:val="nil"/>
            </w:tcBorders>
            <w:shd w:val="clear" w:color="auto" w:fill="auto"/>
            <w:noWrap/>
            <w:vAlign w:val="bottom"/>
            <w:hideMark/>
          </w:tcPr>
          <w:p w14:paraId="725553B3"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De 0 a 15 años</w:t>
            </w:r>
          </w:p>
        </w:tc>
        <w:tc>
          <w:tcPr>
            <w:tcW w:w="2127" w:type="dxa"/>
            <w:tcBorders>
              <w:top w:val="nil"/>
              <w:left w:val="nil"/>
              <w:bottom w:val="nil"/>
              <w:right w:val="nil"/>
            </w:tcBorders>
            <w:shd w:val="clear" w:color="auto" w:fill="auto"/>
            <w:noWrap/>
            <w:vAlign w:val="bottom"/>
            <w:hideMark/>
          </w:tcPr>
          <w:p w14:paraId="4E78FFA0"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44</w:t>
            </w:r>
          </w:p>
        </w:tc>
        <w:tc>
          <w:tcPr>
            <w:tcW w:w="1842" w:type="dxa"/>
            <w:tcBorders>
              <w:top w:val="nil"/>
              <w:left w:val="nil"/>
              <w:bottom w:val="nil"/>
              <w:right w:val="nil"/>
            </w:tcBorders>
            <w:shd w:val="clear" w:color="auto" w:fill="auto"/>
            <w:noWrap/>
            <w:vAlign w:val="bottom"/>
            <w:hideMark/>
          </w:tcPr>
          <w:p w14:paraId="12F371DF"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37,6</w:t>
            </w:r>
          </w:p>
        </w:tc>
      </w:tr>
      <w:tr w:rsidR="00BF4F51" w:rsidRPr="00407698" w14:paraId="0BD6B60A" w14:textId="77777777" w:rsidTr="00BF4F51">
        <w:trPr>
          <w:trHeight w:val="300"/>
          <w:jc w:val="center"/>
        </w:trPr>
        <w:tc>
          <w:tcPr>
            <w:tcW w:w="2268" w:type="dxa"/>
            <w:tcBorders>
              <w:top w:val="nil"/>
              <w:left w:val="nil"/>
              <w:bottom w:val="nil"/>
              <w:right w:val="nil"/>
            </w:tcBorders>
            <w:shd w:val="clear" w:color="auto" w:fill="auto"/>
            <w:noWrap/>
            <w:vAlign w:val="bottom"/>
            <w:hideMark/>
          </w:tcPr>
          <w:p w14:paraId="40662F3E"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De 16 a 30 años</w:t>
            </w:r>
          </w:p>
        </w:tc>
        <w:tc>
          <w:tcPr>
            <w:tcW w:w="2127" w:type="dxa"/>
            <w:tcBorders>
              <w:top w:val="nil"/>
              <w:left w:val="nil"/>
              <w:bottom w:val="nil"/>
              <w:right w:val="nil"/>
            </w:tcBorders>
            <w:shd w:val="clear" w:color="auto" w:fill="auto"/>
            <w:noWrap/>
            <w:vAlign w:val="bottom"/>
            <w:hideMark/>
          </w:tcPr>
          <w:p w14:paraId="2B2F38A3"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36</w:t>
            </w:r>
          </w:p>
        </w:tc>
        <w:tc>
          <w:tcPr>
            <w:tcW w:w="1842" w:type="dxa"/>
            <w:tcBorders>
              <w:top w:val="nil"/>
              <w:left w:val="nil"/>
              <w:bottom w:val="nil"/>
              <w:right w:val="nil"/>
            </w:tcBorders>
            <w:shd w:val="clear" w:color="auto" w:fill="auto"/>
            <w:noWrap/>
            <w:vAlign w:val="bottom"/>
            <w:hideMark/>
          </w:tcPr>
          <w:p w14:paraId="4D9C9A42"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30,8</w:t>
            </w:r>
          </w:p>
        </w:tc>
      </w:tr>
      <w:tr w:rsidR="00BF4F51" w:rsidRPr="00407698" w14:paraId="4C1CC2F4" w14:textId="77777777" w:rsidTr="00BF4F51">
        <w:trPr>
          <w:trHeight w:val="300"/>
          <w:jc w:val="center"/>
        </w:trPr>
        <w:tc>
          <w:tcPr>
            <w:tcW w:w="2268" w:type="dxa"/>
            <w:tcBorders>
              <w:top w:val="nil"/>
              <w:left w:val="nil"/>
              <w:bottom w:val="nil"/>
              <w:right w:val="nil"/>
            </w:tcBorders>
            <w:shd w:val="clear" w:color="auto" w:fill="auto"/>
            <w:noWrap/>
            <w:vAlign w:val="bottom"/>
            <w:hideMark/>
          </w:tcPr>
          <w:p w14:paraId="47124BDD"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De 31 a 45 años</w:t>
            </w:r>
          </w:p>
        </w:tc>
        <w:tc>
          <w:tcPr>
            <w:tcW w:w="2127" w:type="dxa"/>
            <w:tcBorders>
              <w:top w:val="nil"/>
              <w:left w:val="nil"/>
              <w:bottom w:val="nil"/>
              <w:right w:val="nil"/>
            </w:tcBorders>
            <w:shd w:val="clear" w:color="auto" w:fill="auto"/>
            <w:noWrap/>
            <w:vAlign w:val="bottom"/>
            <w:hideMark/>
          </w:tcPr>
          <w:p w14:paraId="23F539E6"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14</w:t>
            </w:r>
          </w:p>
        </w:tc>
        <w:tc>
          <w:tcPr>
            <w:tcW w:w="1842" w:type="dxa"/>
            <w:tcBorders>
              <w:top w:val="nil"/>
              <w:left w:val="nil"/>
              <w:bottom w:val="nil"/>
              <w:right w:val="nil"/>
            </w:tcBorders>
            <w:shd w:val="clear" w:color="auto" w:fill="auto"/>
            <w:noWrap/>
            <w:vAlign w:val="bottom"/>
            <w:hideMark/>
          </w:tcPr>
          <w:p w14:paraId="11BAF384"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12,0</w:t>
            </w:r>
          </w:p>
        </w:tc>
      </w:tr>
      <w:tr w:rsidR="00BF4F51" w:rsidRPr="00407698" w14:paraId="592F3016" w14:textId="77777777" w:rsidTr="00BF4F51">
        <w:trPr>
          <w:trHeight w:val="300"/>
          <w:jc w:val="center"/>
        </w:trPr>
        <w:tc>
          <w:tcPr>
            <w:tcW w:w="2268" w:type="dxa"/>
            <w:tcBorders>
              <w:top w:val="nil"/>
              <w:left w:val="nil"/>
              <w:bottom w:val="nil"/>
              <w:right w:val="nil"/>
            </w:tcBorders>
            <w:shd w:val="clear" w:color="auto" w:fill="auto"/>
            <w:noWrap/>
            <w:vAlign w:val="bottom"/>
            <w:hideMark/>
          </w:tcPr>
          <w:p w14:paraId="066FE6BB"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Más de 45 años</w:t>
            </w:r>
          </w:p>
        </w:tc>
        <w:tc>
          <w:tcPr>
            <w:tcW w:w="2127" w:type="dxa"/>
            <w:tcBorders>
              <w:top w:val="nil"/>
              <w:left w:val="nil"/>
              <w:bottom w:val="nil"/>
              <w:right w:val="nil"/>
            </w:tcBorders>
            <w:shd w:val="clear" w:color="auto" w:fill="auto"/>
            <w:noWrap/>
            <w:vAlign w:val="bottom"/>
            <w:hideMark/>
          </w:tcPr>
          <w:p w14:paraId="0DF3507B"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21</w:t>
            </w:r>
          </w:p>
        </w:tc>
        <w:tc>
          <w:tcPr>
            <w:tcW w:w="1842" w:type="dxa"/>
            <w:tcBorders>
              <w:top w:val="nil"/>
              <w:left w:val="nil"/>
              <w:bottom w:val="nil"/>
              <w:right w:val="nil"/>
            </w:tcBorders>
            <w:shd w:val="clear" w:color="auto" w:fill="auto"/>
            <w:noWrap/>
            <w:vAlign w:val="bottom"/>
            <w:hideMark/>
          </w:tcPr>
          <w:p w14:paraId="4A63292B"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17,9</w:t>
            </w:r>
          </w:p>
        </w:tc>
      </w:tr>
      <w:tr w:rsidR="00BF4F51" w:rsidRPr="00407698" w14:paraId="24F63B30" w14:textId="77777777" w:rsidTr="00BF4F51">
        <w:trPr>
          <w:trHeight w:val="300"/>
          <w:jc w:val="center"/>
        </w:trPr>
        <w:tc>
          <w:tcPr>
            <w:tcW w:w="2268" w:type="dxa"/>
            <w:tcBorders>
              <w:top w:val="nil"/>
              <w:left w:val="nil"/>
              <w:bottom w:val="nil"/>
              <w:right w:val="nil"/>
            </w:tcBorders>
            <w:shd w:val="clear" w:color="auto" w:fill="auto"/>
            <w:noWrap/>
            <w:vAlign w:val="bottom"/>
            <w:hideMark/>
          </w:tcPr>
          <w:p w14:paraId="02549131"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No responde</w:t>
            </w:r>
          </w:p>
        </w:tc>
        <w:tc>
          <w:tcPr>
            <w:tcW w:w="2127" w:type="dxa"/>
            <w:tcBorders>
              <w:top w:val="nil"/>
              <w:left w:val="nil"/>
              <w:bottom w:val="nil"/>
              <w:right w:val="nil"/>
            </w:tcBorders>
            <w:shd w:val="clear" w:color="auto" w:fill="auto"/>
            <w:noWrap/>
            <w:vAlign w:val="bottom"/>
            <w:hideMark/>
          </w:tcPr>
          <w:p w14:paraId="0152A613"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2</w:t>
            </w:r>
          </w:p>
        </w:tc>
        <w:tc>
          <w:tcPr>
            <w:tcW w:w="1842" w:type="dxa"/>
            <w:tcBorders>
              <w:top w:val="nil"/>
              <w:left w:val="nil"/>
              <w:bottom w:val="nil"/>
              <w:right w:val="nil"/>
            </w:tcBorders>
            <w:shd w:val="clear" w:color="auto" w:fill="auto"/>
            <w:noWrap/>
            <w:vAlign w:val="bottom"/>
            <w:hideMark/>
          </w:tcPr>
          <w:p w14:paraId="5AB9CCE4" w14:textId="77777777" w:rsidR="00BF4F51" w:rsidRPr="00407698" w:rsidRDefault="00BF4F51" w:rsidP="00485619">
            <w:pPr>
              <w:spacing w:after="0" w:line="240" w:lineRule="auto"/>
              <w:jc w:val="both"/>
              <w:rPr>
                <w:rFonts w:ascii="Verdana" w:eastAsia="Times New Roman" w:hAnsi="Verdana" w:cs="Arial"/>
                <w:lang w:eastAsia="es-CR"/>
              </w:rPr>
            </w:pPr>
            <w:r w:rsidRPr="00407698">
              <w:rPr>
                <w:rFonts w:ascii="Verdana" w:eastAsia="Times New Roman" w:hAnsi="Verdana" w:cs="Arial"/>
                <w:lang w:eastAsia="es-CR"/>
              </w:rPr>
              <w:t>1,7</w:t>
            </w:r>
          </w:p>
        </w:tc>
      </w:tr>
      <w:tr w:rsidR="00BF4F51" w:rsidRPr="00407698" w14:paraId="100F4C69" w14:textId="77777777" w:rsidTr="00BF4F51">
        <w:trPr>
          <w:trHeight w:val="300"/>
          <w:jc w:val="center"/>
        </w:trPr>
        <w:tc>
          <w:tcPr>
            <w:tcW w:w="2268" w:type="dxa"/>
            <w:tcBorders>
              <w:top w:val="nil"/>
              <w:left w:val="nil"/>
              <w:bottom w:val="single" w:sz="4" w:space="0" w:color="auto"/>
              <w:right w:val="nil"/>
            </w:tcBorders>
            <w:shd w:val="clear" w:color="auto" w:fill="auto"/>
            <w:noWrap/>
            <w:vAlign w:val="bottom"/>
            <w:hideMark/>
          </w:tcPr>
          <w:p w14:paraId="15496A8B" w14:textId="77777777" w:rsidR="00BF4F51" w:rsidRPr="00407698" w:rsidRDefault="00BF4F51" w:rsidP="00485619">
            <w:pPr>
              <w:spacing w:after="0" w:line="240" w:lineRule="auto"/>
              <w:jc w:val="both"/>
              <w:rPr>
                <w:rFonts w:ascii="Verdana" w:eastAsia="Times New Roman" w:hAnsi="Verdana" w:cs="Arial"/>
                <w:b/>
                <w:bCs/>
                <w:lang w:eastAsia="es-CR"/>
              </w:rPr>
            </w:pPr>
            <w:r w:rsidRPr="00407698">
              <w:rPr>
                <w:rFonts w:ascii="Verdana" w:eastAsia="Times New Roman" w:hAnsi="Verdana" w:cs="Arial"/>
                <w:b/>
                <w:bCs/>
                <w:lang w:eastAsia="es-CR"/>
              </w:rPr>
              <w:t>Total</w:t>
            </w:r>
          </w:p>
        </w:tc>
        <w:tc>
          <w:tcPr>
            <w:tcW w:w="2127" w:type="dxa"/>
            <w:tcBorders>
              <w:top w:val="nil"/>
              <w:left w:val="nil"/>
              <w:bottom w:val="single" w:sz="4" w:space="0" w:color="auto"/>
              <w:right w:val="nil"/>
            </w:tcBorders>
            <w:shd w:val="clear" w:color="auto" w:fill="auto"/>
            <w:noWrap/>
            <w:vAlign w:val="bottom"/>
            <w:hideMark/>
          </w:tcPr>
          <w:p w14:paraId="3C8922A0" w14:textId="77777777" w:rsidR="00BF4F51" w:rsidRPr="00407698" w:rsidRDefault="00BF4F51" w:rsidP="00485619">
            <w:pPr>
              <w:spacing w:after="0" w:line="240" w:lineRule="auto"/>
              <w:jc w:val="both"/>
              <w:rPr>
                <w:rFonts w:ascii="Verdana" w:eastAsia="Times New Roman" w:hAnsi="Verdana" w:cs="Arial"/>
                <w:b/>
                <w:bCs/>
                <w:lang w:eastAsia="es-CR"/>
              </w:rPr>
            </w:pPr>
            <w:r w:rsidRPr="00407698">
              <w:rPr>
                <w:rFonts w:ascii="Verdana" w:eastAsia="Times New Roman" w:hAnsi="Verdana" w:cs="Arial"/>
                <w:b/>
                <w:bCs/>
                <w:lang w:eastAsia="es-CR"/>
              </w:rPr>
              <w:t>117</w:t>
            </w:r>
          </w:p>
        </w:tc>
        <w:tc>
          <w:tcPr>
            <w:tcW w:w="1842" w:type="dxa"/>
            <w:tcBorders>
              <w:top w:val="nil"/>
              <w:left w:val="nil"/>
              <w:bottom w:val="single" w:sz="4" w:space="0" w:color="auto"/>
              <w:right w:val="nil"/>
            </w:tcBorders>
            <w:shd w:val="clear" w:color="auto" w:fill="auto"/>
            <w:noWrap/>
            <w:vAlign w:val="bottom"/>
            <w:hideMark/>
          </w:tcPr>
          <w:p w14:paraId="74021C94" w14:textId="77777777" w:rsidR="00BF4F51" w:rsidRPr="00407698" w:rsidRDefault="00BF4F51" w:rsidP="00485619">
            <w:pPr>
              <w:spacing w:after="0" w:line="240" w:lineRule="auto"/>
              <w:jc w:val="both"/>
              <w:rPr>
                <w:rFonts w:ascii="Verdana" w:eastAsia="Times New Roman" w:hAnsi="Verdana" w:cs="Arial"/>
                <w:b/>
                <w:bCs/>
                <w:lang w:eastAsia="es-CR"/>
              </w:rPr>
            </w:pPr>
            <w:r w:rsidRPr="00407698">
              <w:rPr>
                <w:rFonts w:ascii="Verdana" w:eastAsia="Times New Roman" w:hAnsi="Verdana" w:cs="Arial"/>
                <w:b/>
                <w:bCs/>
                <w:lang w:eastAsia="es-CR"/>
              </w:rPr>
              <w:t>100,0</w:t>
            </w:r>
          </w:p>
        </w:tc>
      </w:tr>
    </w:tbl>
    <w:p w14:paraId="47932A20" w14:textId="77777777" w:rsidR="003434C5" w:rsidRDefault="003434C5" w:rsidP="00485619">
      <w:pPr>
        <w:spacing w:after="0" w:line="240" w:lineRule="auto"/>
        <w:jc w:val="both"/>
        <w:rPr>
          <w:rFonts w:ascii="Verdana" w:eastAsia="Times New Roman" w:hAnsi="Verdana" w:cs="Arial"/>
          <w:sz w:val="24"/>
          <w:szCs w:val="24"/>
          <w:highlight w:val="yellow"/>
          <w:lang w:val="es-ES" w:eastAsia="es-ES"/>
        </w:rPr>
      </w:pPr>
    </w:p>
    <w:p w14:paraId="3A4DAC95" w14:textId="77777777" w:rsidR="00ED16F5" w:rsidRDefault="00ED16F5" w:rsidP="00485619">
      <w:pPr>
        <w:spacing w:after="0" w:line="240" w:lineRule="auto"/>
        <w:jc w:val="both"/>
        <w:rPr>
          <w:rFonts w:ascii="Verdana" w:eastAsia="Times New Roman" w:hAnsi="Verdana" w:cs="Arial"/>
          <w:sz w:val="24"/>
          <w:szCs w:val="24"/>
          <w:highlight w:val="yellow"/>
          <w:lang w:val="es-ES" w:eastAsia="es-ES"/>
        </w:rPr>
      </w:pPr>
    </w:p>
    <w:p w14:paraId="50E2A21A" w14:textId="77777777" w:rsidR="00ED16F5" w:rsidRPr="00485619" w:rsidRDefault="00ED16F5" w:rsidP="00485619">
      <w:pPr>
        <w:spacing w:after="0" w:line="240" w:lineRule="auto"/>
        <w:jc w:val="both"/>
        <w:rPr>
          <w:rFonts w:ascii="Verdana" w:eastAsia="Times New Roman" w:hAnsi="Verdana" w:cs="Arial"/>
          <w:sz w:val="24"/>
          <w:szCs w:val="24"/>
          <w:highlight w:val="yellow"/>
          <w:lang w:val="es-ES" w:eastAsia="es-ES"/>
        </w:rPr>
      </w:pPr>
    </w:p>
    <w:p w14:paraId="73C3DC86"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 cuanto a los materiales que componen la estructura de los locales de los Archivos Centrales, predominan el concreto y el tubo e</w:t>
      </w:r>
      <w:r w:rsidR="00441DD3" w:rsidRPr="00485619">
        <w:rPr>
          <w:rFonts w:ascii="Verdana" w:eastAsia="Times New Roman" w:hAnsi="Verdana" w:cs="Times New Roman"/>
          <w:sz w:val="24"/>
          <w:szCs w:val="24"/>
          <w:lang w:val="es-ES" w:eastAsia="es-ES"/>
        </w:rPr>
        <w:t>structural, ya que el 90.09% (109</w:t>
      </w:r>
      <w:r w:rsidRPr="00485619">
        <w:rPr>
          <w:rFonts w:ascii="Verdana" w:eastAsia="Times New Roman" w:hAnsi="Verdana" w:cs="Times New Roman"/>
          <w:sz w:val="24"/>
          <w:szCs w:val="24"/>
          <w:lang w:val="es-ES" w:eastAsia="es-ES"/>
        </w:rPr>
        <w:t xml:space="preserve"> instituciones) así lo informaron. Asimismo, los p</w:t>
      </w:r>
      <w:r w:rsidR="0056256D" w:rsidRPr="00485619">
        <w:rPr>
          <w:rFonts w:ascii="Verdana" w:eastAsia="Times New Roman" w:hAnsi="Verdana" w:cs="Times New Roman"/>
          <w:sz w:val="24"/>
          <w:szCs w:val="24"/>
          <w:lang w:val="es-ES" w:eastAsia="es-ES"/>
        </w:rPr>
        <w:t>isos, suelo</w:t>
      </w:r>
      <w:r w:rsidR="004B70C0" w:rsidRPr="00485619">
        <w:rPr>
          <w:rFonts w:ascii="Verdana" w:eastAsia="Times New Roman" w:hAnsi="Verdana" w:cs="Times New Roman"/>
          <w:sz w:val="24"/>
          <w:szCs w:val="24"/>
          <w:lang w:val="es-ES" w:eastAsia="es-ES"/>
        </w:rPr>
        <w:t>s y cielorrasos de 90 locales (75.</w:t>
      </w:r>
      <w:r w:rsidR="00B93222" w:rsidRPr="00485619">
        <w:rPr>
          <w:rFonts w:ascii="Verdana" w:eastAsia="Times New Roman" w:hAnsi="Verdana" w:cs="Times New Roman"/>
          <w:sz w:val="24"/>
          <w:szCs w:val="24"/>
          <w:lang w:val="es-ES" w:eastAsia="es-ES"/>
        </w:rPr>
        <w:t>6</w:t>
      </w:r>
      <w:r w:rsidRPr="00485619">
        <w:rPr>
          <w:rFonts w:ascii="Verdana" w:eastAsia="Times New Roman" w:hAnsi="Verdana" w:cs="Times New Roman"/>
          <w:sz w:val="24"/>
          <w:szCs w:val="24"/>
          <w:lang w:val="es-ES" w:eastAsia="es-ES"/>
        </w:rPr>
        <w:t>%) están construidos con materiales no flamables.</w:t>
      </w:r>
      <w:r w:rsidR="00D908E0"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Sin embargo, al consultar si en los archivos centrales contaban con suficiente estantería para custodiar los documentos y evitar su</w:t>
      </w:r>
      <w:r w:rsidR="004B70C0" w:rsidRPr="00485619">
        <w:rPr>
          <w:rFonts w:ascii="Verdana" w:eastAsia="Times New Roman" w:hAnsi="Verdana" w:cs="Times New Roman"/>
          <w:sz w:val="24"/>
          <w:szCs w:val="24"/>
          <w:lang w:val="es-ES" w:eastAsia="es-ES"/>
        </w:rPr>
        <w:t xml:space="preserve"> colocación en el suelo, solo 78 </w:t>
      </w:r>
      <w:r w:rsidRPr="00485619">
        <w:rPr>
          <w:rFonts w:ascii="Verdana" w:eastAsia="Times New Roman" w:hAnsi="Verdana" w:cs="Times New Roman"/>
          <w:sz w:val="24"/>
          <w:szCs w:val="24"/>
          <w:lang w:val="es-ES" w:eastAsia="es-ES"/>
        </w:rPr>
        <w:t>institucione</w:t>
      </w:r>
      <w:r w:rsidR="00C057BF" w:rsidRPr="00485619">
        <w:rPr>
          <w:rFonts w:ascii="Verdana" w:eastAsia="Times New Roman" w:hAnsi="Verdana" w:cs="Times New Roman"/>
          <w:sz w:val="24"/>
          <w:szCs w:val="24"/>
          <w:lang w:val="es-ES" w:eastAsia="es-ES"/>
        </w:rPr>
        <w:t xml:space="preserve">s </w:t>
      </w:r>
      <w:r w:rsidR="004B70C0" w:rsidRPr="00485619">
        <w:rPr>
          <w:rFonts w:ascii="Verdana" w:eastAsia="Times New Roman" w:hAnsi="Verdana" w:cs="Times New Roman"/>
          <w:sz w:val="24"/>
          <w:szCs w:val="24"/>
          <w:lang w:val="es-ES" w:eastAsia="es-ES"/>
        </w:rPr>
        <w:t>respondieron afirmativamente, 40</w:t>
      </w:r>
      <w:r w:rsidRPr="00485619">
        <w:rPr>
          <w:rFonts w:ascii="Verdana" w:eastAsia="Times New Roman" w:hAnsi="Verdana" w:cs="Times New Roman"/>
          <w:sz w:val="24"/>
          <w:szCs w:val="24"/>
          <w:lang w:val="es-ES" w:eastAsia="es-ES"/>
        </w:rPr>
        <w:t xml:space="preserve"> adujeron no contar con estantería suficiente</w:t>
      </w:r>
      <w:r w:rsidR="004B70C0" w:rsidRPr="00485619">
        <w:rPr>
          <w:rFonts w:ascii="Verdana" w:eastAsia="Times New Roman" w:hAnsi="Verdana" w:cs="Times New Roman"/>
          <w:sz w:val="24"/>
          <w:szCs w:val="24"/>
          <w:lang w:val="es-ES" w:eastAsia="es-ES"/>
        </w:rPr>
        <w:t xml:space="preserve"> y 1 no contestó</w:t>
      </w:r>
      <w:r w:rsidRPr="00485619">
        <w:rPr>
          <w:rFonts w:ascii="Verdana" w:eastAsia="Times New Roman" w:hAnsi="Verdana" w:cs="Times New Roman"/>
          <w:sz w:val="24"/>
          <w:szCs w:val="24"/>
          <w:lang w:val="es-ES" w:eastAsia="es-ES"/>
        </w:rPr>
        <w:t>.</w:t>
      </w:r>
    </w:p>
    <w:p w14:paraId="3BEFE4C9" w14:textId="77777777" w:rsidR="00D908E0" w:rsidRPr="00485619" w:rsidRDefault="00D908E0" w:rsidP="00485619">
      <w:pPr>
        <w:spacing w:after="0" w:line="240" w:lineRule="auto"/>
        <w:jc w:val="both"/>
        <w:rPr>
          <w:rFonts w:ascii="Verdana" w:eastAsia="Times New Roman" w:hAnsi="Verdana" w:cs="Times New Roman"/>
          <w:sz w:val="24"/>
          <w:szCs w:val="24"/>
          <w:highlight w:val="yellow"/>
          <w:lang w:val="es-ES" w:eastAsia="es-ES"/>
        </w:rPr>
      </w:pPr>
    </w:p>
    <w:p w14:paraId="7D28C044" w14:textId="77777777" w:rsidR="006A6EA9" w:rsidRPr="00485619" w:rsidRDefault="004B70C0" w:rsidP="00407698">
      <w:pPr>
        <w:spacing w:after="0" w:line="240" w:lineRule="auto"/>
        <w:jc w:val="center"/>
        <w:rPr>
          <w:rFonts w:ascii="Verdana" w:eastAsia="Times New Roman" w:hAnsi="Verdana" w:cs="Arial"/>
          <w:sz w:val="24"/>
          <w:szCs w:val="24"/>
          <w:highlight w:val="yellow"/>
          <w:lang w:val="es-ES" w:eastAsia="es-ES"/>
        </w:rPr>
      </w:pPr>
      <w:r w:rsidRPr="00485619">
        <w:rPr>
          <w:rFonts w:ascii="Verdana" w:hAnsi="Verdana"/>
          <w:noProof/>
          <w:sz w:val="24"/>
          <w:szCs w:val="24"/>
          <w:lang w:val="es-ES" w:eastAsia="es-ES"/>
        </w:rPr>
        <w:drawing>
          <wp:inline distT="0" distB="0" distL="0" distR="0" wp14:anchorId="16780606" wp14:editId="4E0E31AB">
            <wp:extent cx="4972050" cy="2943225"/>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0A5422"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 cuanto a la limpieza y</w:t>
      </w:r>
      <w:r w:rsidR="00237FD1" w:rsidRPr="00485619">
        <w:rPr>
          <w:rFonts w:ascii="Verdana" w:eastAsia="Times New Roman" w:hAnsi="Verdana" w:cs="Times New Roman"/>
          <w:sz w:val="24"/>
          <w:szCs w:val="24"/>
          <w:lang w:val="es-ES" w:eastAsia="es-ES"/>
        </w:rPr>
        <w:t xml:space="preserve"> mantenimiento de los locales, 9</w:t>
      </w:r>
      <w:r w:rsidR="00B926D9" w:rsidRPr="00485619">
        <w:rPr>
          <w:rFonts w:ascii="Verdana" w:eastAsia="Times New Roman" w:hAnsi="Verdana" w:cs="Times New Roman"/>
          <w:sz w:val="24"/>
          <w:szCs w:val="24"/>
          <w:lang w:val="es-ES" w:eastAsia="es-ES"/>
        </w:rPr>
        <w:t>7 (81,5%)</w:t>
      </w:r>
      <w:r w:rsidRPr="00485619">
        <w:rPr>
          <w:rFonts w:ascii="Verdana" w:eastAsia="Times New Roman" w:hAnsi="Verdana" w:cs="Times New Roman"/>
          <w:sz w:val="24"/>
          <w:szCs w:val="24"/>
          <w:lang w:val="es-ES" w:eastAsia="es-ES"/>
        </w:rPr>
        <w:t xml:space="preserve"> i</w:t>
      </w:r>
      <w:r w:rsidR="00B02DF9" w:rsidRPr="00485619">
        <w:rPr>
          <w:rFonts w:ascii="Verdana" w:eastAsia="Times New Roman" w:hAnsi="Verdana" w:cs="Times New Roman"/>
          <w:sz w:val="24"/>
          <w:szCs w:val="24"/>
          <w:lang w:val="es-ES" w:eastAsia="es-ES"/>
        </w:rPr>
        <w:t>nstituciones manifestaron tener</w:t>
      </w:r>
      <w:r w:rsidRPr="00485619">
        <w:rPr>
          <w:rFonts w:ascii="Verdana" w:eastAsia="Times New Roman" w:hAnsi="Verdana" w:cs="Times New Roman"/>
          <w:sz w:val="24"/>
          <w:szCs w:val="24"/>
          <w:lang w:val="es-ES" w:eastAsia="es-ES"/>
        </w:rPr>
        <w:t xml:space="preserve"> un programa p</w:t>
      </w:r>
      <w:r w:rsidR="00B926D9" w:rsidRPr="00485619">
        <w:rPr>
          <w:rFonts w:ascii="Verdana" w:eastAsia="Times New Roman" w:hAnsi="Verdana" w:cs="Times New Roman"/>
          <w:sz w:val="24"/>
          <w:szCs w:val="24"/>
          <w:lang w:val="es-ES" w:eastAsia="es-ES"/>
        </w:rPr>
        <w:t>ara realizar esta actividad, 22</w:t>
      </w:r>
      <w:r w:rsidRPr="00485619">
        <w:rPr>
          <w:rFonts w:ascii="Verdana" w:eastAsia="Times New Roman" w:hAnsi="Verdana" w:cs="Times New Roman"/>
          <w:sz w:val="24"/>
          <w:szCs w:val="24"/>
          <w:lang w:val="es-ES" w:eastAsia="es-ES"/>
        </w:rPr>
        <w:t xml:space="preserve"> </w:t>
      </w:r>
      <w:r w:rsidR="00B926D9" w:rsidRPr="00485619">
        <w:rPr>
          <w:rFonts w:ascii="Verdana" w:eastAsia="Times New Roman" w:hAnsi="Verdana" w:cs="Times New Roman"/>
          <w:sz w:val="24"/>
          <w:szCs w:val="24"/>
          <w:lang w:val="es-ES" w:eastAsia="es-ES"/>
        </w:rPr>
        <w:t xml:space="preserve">(18,5%) </w:t>
      </w:r>
      <w:r w:rsidRPr="00485619">
        <w:rPr>
          <w:rFonts w:ascii="Verdana" w:eastAsia="Times New Roman" w:hAnsi="Verdana" w:cs="Times New Roman"/>
          <w:sz w:val="24"/>
          <w:szCs w:val="24"/>
          <w:lang w:val="es-ES" w:eastAsia="es-ES"/>
        </w:rPr>
        <w:t>no cuentan con dicho programa</w:t>
      </w:r>
      <w:r w:rsidR="00B926D9" w:rsidRPr="00485619">
        <w:rPr>
          <w:rFonts w:ascii="Verdana" w:eastAsia="Times New Roman" w:hAnsi="Verdana" w:cs="Times New Roman"/>
          <w:sz w:val="24"/>
          <w:szCs w:val="24"/>
          <w:lang w:val="es-ES" w:eastAsia="es-ES"/>
        </w:rPr>
        <w:t>.</w:t>
      </w:r>
    </w:p>
    <w:p w14:paraId="274A3993"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658F9019" w14:textId="1111A0A4"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Cabe destacar que en relación con la seguridad de lo</w:t>
      </w:r>
      <w:r w:rsidR="003B1FAC" w:rsidRPr="00485619">
        <w:rPr>
          <w:rFonts w:ascii="Verdana" w:eastAsia="Times New Roman" w:hAnsi="Verdana" w:cs="Times New Roman"/>
          <w:sz w:val="24"/>
          <w:szCs w:val="24"/>
          <w:lang w:val="es-ES" w:eastAsia="es-ES"/>
        </w:rPr>
        <w:t xml:space="preserve">s locales de archivo central, </w:t>
      </w:r>
      <w:r w:rsidR="00A347E4" w:rsidRPr="00485619">
        <w:rPr>
          <w:rFonts w:ascii="Verdana" w:eastAsia="Times New Roman" w:hAnsi="Verdana" w:cs="Times New Roman"/>
          <w:sz w:val="24"/>
          <w:szCs w:val="24"/>
          <w:lang w:val="es-ES" w:eastAsia="es-ES"/>
        </w:rPr>
        <w:t>100</w:t>
      </w:r>
      <w:r w:rsidRPr="00485619">
        <w:rPr>
          <w:rFonts w:ascii="Verdana" w:eastAsia="Times New Roman" w:hAnsi="Verdana" w:cs="Times New Roman"/>
          <w:sz w:val="24"/>
          <w:szCs w:val="24"/>
          <w:lang w:val="es-ES" w:eastAsia="es-ES"/>
        </w:rPr>
        <w:t xml:space="preserve"> instituciones mencionaron restringir el acceso </w:t>
      </w:r>
      <w:r w:rsidR="003B1FAC" w:rsidRPr="00485619">
        <w:rPr>
          <w:rFonts w:ascii="Verdana" w:eastAsia="Times New Roman" w:hAnsi="Verdana" w:cs="Times New Roman"/>
          <w:sz w:val="24"/>
          <w:szCs w:val="24"/>
          <w:lang w:val="es-ES" w:eastAsia="es-ES"/>
        </w:rPr>
        <w:t xml:space="preserve">a los depósitos documentales, </w:t>
      </w:r>
      <w:r w:rsidR="00A347E4" w:rsidRPr="00485619">
        <w:rPr>
          <w:rFonts w:ascii="Verdana" w:eastAsia="Times New Roman" w:hAnsi="Verdana" w:cs="Times New Roman"/>
          <w:sz w:val="24"/>
          <w:szCs w:val="24"/>
          <w:lang w:val="es-ES" w:eastAsia="es-ES"/>
        </w:rPr>
        <w:t>19</w:t>
      </w:r>
      <w:r w:rsidR="003B1FAC" w:rsidRPr="00485619">
        <w:rPr>
          <w:rFonts w:ascii="Verdana" w:eastAsia="Times New Roman" w:hAnsi="Verdana" w:cs="Times New Roman"/>
          <w:sz w:val="24"/>
          <w:szCs w:val="24"/>
          <w:lang w:val="es-ES" w:eastAsia="es-ES"/>
        </w:rPr>
        <w:t xml:space="preserve"> afirmaron no controlarlo</w:t>
      </w:r>
      <w:r w:rsidR="00A347E4" w:rsidRPr="00485619">
        <w:rPr>
          <w:rFonts w:ascii="Verdana" w:eastAsia="Times New Roman" w:hAnsi="Verdana" w:cs="Times New Roman"/>
          <w:sz w:val="24"/>
          <w:szCs w:val="24"/>
          <w:lang w:val="es-ES" w:eastAsia="es-ES"/>
        </w:rPr>
        <w:t>.</w:t>
      </w:r>
    </w:p>
    <w:p w14:paraId="4F97F270" w14:textId="77777777" w:rsidR="00091A2E" w:rsidRPr="00485619" w:rsidRDefault="00091A2E" w:rsidP="00485619">
      <w:pPr>
        <w:spacing w:after="0" w:line="240" w:lineRule="auto"/>
        <w:jc w:val="both"/>
        <w:rPr>
          <w:rFonts w:ascii="Verdana" w:eastAsia="Times New Roman" w:hAnsi="Verdana" w:cs="Times New Roman"/>
          <w:sz w:val="24"/>
          <w:szCs w:val="24"/>
          <w:highlight w:val="yellow"/>
          <w:lang w:val="es-ES" w:eastAsia="es-ES"/>
        </w:rPr>
      </w:pPr>
    </w:p>
    <w:p w14:paraId="133C86FC" w14:textId="77777777" w:rsidR="00091A2E" w:rsidRPr="00485619" w:rsidRDefault="00091A2E" w:rsidP="00485619">
      <w:pPr>
        <w:spacing w:after="0" w:line="240" w:lineRule="auto"/>
        <w:jc w:val="both"/>
        <w:rPr>
          <w:rFonts w:ascii="Verdana" w:eastAsia="Times New Roman" w:hAnsi="Verdana" w:cs="Times New Roman"/>
          <w:sz w:val="24"/>
          <w:szCs w:val="24"/>
          <w:highlight w:val="yellow"/>
          <w:lang w:val="es-ES" w:eastAsia="es-ES"/>
        </w:rPr>
      </w:pPr>
    </w:p>
    <w:p w14:paraId="1413324A" w14:textId="77777777" w:rsidR="006A6EA9" w:rsidRPr="00485619" w:rsidRDefault="00013773" w:rsidP="00485619">
      <w:pPr>
        <w:pStyle w:val="Ttulo2"/>
        <w:jc w:val="both"/>
        <w:rPr>
          <w:rFonts w:ascii="Verdana" w:hAnsi="Verdana"/>
          <w:sz w:val="24"/>
          <w:szCs w:val="24"/>
        </w:rPr>
      </w:pPr>
      <w:bookmarkStart w:id="15" w:name="_Toc444697512"/>
      <w:r w:rsidRPr="00485619">
        <w:rPr>
          <w:rFonts w:ascii="Verdana" w:hAnsi="Verdana"/>
          <w:sz w:val="24"/>
          <w:szCs w:val="24"/>
        </w:rPr>
        <w:t xml:space="preserve">6. </w:t>
      </w:r>
      <w:r w:rsidR="006A6EA9" w:rsidRPr="00485619">
        <w:rPr>
          <w:rFonts w:ascii="Verdana" w:hAnsi="Verdana"/>
          <w:sz w:val="24"/>
          <w:szCs w:val="24"/>
        </w:rPr>
        <w:t>Normativa relacionada con nuevos soportes documentales</w:t>
      </w:r>
      <w:bookmarkEnd w:id="15"/>
    </w:p>
    <w:p w14:paraId="3F7CF1F6" w14:textId="77777777" w:rsidR="006A6EA9" w:rsidRPr="00485619" w:rsidRDefault="006A6EA9" w:rsidP="00485619">
      <w:pPr>
        <w:spacing w:after="0" w:line="120" w:lineRule="auto"/>
        <w:jc w:val="both"/>
        <w:rPr>
          <w:rFonts w:ascii="Verdana" w:eastAsia="Times New Roman" w:hAnsi="Verdana" w:cs="Arial"/>
          <w:sz w:val="24"/>
          <w:szCs w:val="24"/>
          <w:lang w:val="es-ES" w:eastAsia="es-ES"/>
        </w:rPr>
      </w:pPr>
    </w:p>
    <w:p w14:paraId="375B433C"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 este apartado se analizó el nivel de cumplimiento en las instituciones, de la normativa emitida por la Cont</w:t>
      </w:r>
      <w:r w:rsidR="002C09F1" w:rsidRPr="00485619">
        <w:rPr>
          <w:rFonts w:ascii="Verdana" w:eastAsia="Times New Roman" w:hAnsi="Verdana" w:cs="Times New Roman"/>
          <w:sz w:val="24"/>
          <w:szCs w:val="24"/>
          <w:lang w:val="es-ES" w:eastAsia="es-ES"/>
        </w:rPr>
        <w:t xml:space="preserve">raloría General de la República, el Ministerio de Ciencia, Tecnología y Telecomunicaciones </w:t>
      </w:r>
      <w:r w:rsidRPr="00485619">
        <w:rPr>
          <w:rFonts w:ascii="Verdana" w:eastAsia="Times New Roman" w:hAnsi="Verdana" w:cs="Times New Roman"/>
          <w:sz w:val="24"/>
          <w:szCs w:val="24"/>
          <w:lang w:val="es-ES" w:eastAsia="es-ES"/>
        </w:rPr>
        <w:t>y la Junta Administrativa del Archivo Nacional, relacionada con el control de tecnologías de la información.</w:t>
      </w:r>
    </w:p>
    <w:p w14:paraId="432F189B"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00CFDAEA"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El marco jurídico evaluado fue el siguiente: </w:t>
      </w:r>
    </w:p>
    <w:p w14:paraId="410DE600" w14:textId="77777777" w:rsidR="006A6EA9" w:rsidRPr="00485619" w:rsidRDefault="006A6EA9" w:rsidP="00485619">
      <w:pPr>
        <w:spacing w:after="0" w:line="120" w:lineRule="auto"/>
        <w:jc w:val="both"/>
        <w:rPr>
          <w:rFonts w:ascii="Verdana" w:eastAsia="Times New Roman" w:hAnsi="Verdana" w:cs="Times New Roman"/>
          <w:b/>
          <w:bCs/>
          <w:sz w:val="24"/>
          <w:szCs w:val="24"/>
          <w:lang w:val="es-ES" w:eastAsia="es-ES"/>
        </w:rPr>
      </w:pPr>
    </w:p>
    <w:p w14:paraId="4D3D612C" w14:textId="77777777" w:rsidR="00D96B24" w:rsidRPr="00485619" w:rsidRDefault="00D96B24" w:rsidP="00485619">
      <w:pPr>
        <w:numPr>
          <w:ilvl w:val="0"/>
          <w:numId w:val="6"/>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Directriz sobre la Administración de los documentos producidos por medios automatizados de la Junta Administrativa del Archivo Nacional.</w:t>
      </w:r>
    </w:p>
    <w:p w14:paraId="46C5ABC0" w14:textId="77777777" w:rsidR="00D96B24" w:rsidRPr="00485619" w:rsidRDefault="00D96B24" w:rsidP="00485619">
      <w:pPr>
        <w:numPr>
          <w:ilvl w:val="0"/>
          <w:numId w:val="6"/>
        </w:numPr>
        <w:spacing w:after="0" w:line="240" w:lineRule="auto"/>
        <w:jc w:val="both"/>
        <w:rPr>
          <w:rFonts w:ascii="Verdana" w:eastAsia="Times New Roman" w:hAnsi="Verdana" w:cs="Times New Roman"/>
          <w:sz w:val="24"/>
          <w:szCs w:val="24"/>
          <w:lang w:val="es-ES" w:eastAsia="es-ES"/>
        </w:rPr>
      </w:pPr>
      <w:r w:rsidRPr="00485619">
        <w:rPr>
          <w:rFonts w:ascii="Verdana" w:hAnsi="Verdana"/>
          <w:sz w:val="24"/>
          <w:szCs w:val="24"/>
          <w:lang w:val="es-ES"/>
        </w:rPr>
        <w:t>Ley de Certificados, Firmas Digitales y Documentos Electrónicos N° 8454.</w:t>
      </w:r>
    </w:p>
    <w:p w14:paraId="285ACBA1" w14:textId="77777777" w:rsidR="00D96B24" w:rsidRPr="00485619" w:rsidRDefault="00D96B24" w:rsidP="00485619">
      <w:pPr>
        <w:numPr>
          <w:ilvl w:val="0"/>
          <w:numId w:val="6"/>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Ley General de Control Interno N° 8292, artículos 15 y 16.</w:t>
      </w:r>
    </w:p>
    <w:p w14:paraId="3E42A206" w14:textId="77777777" w:rsidR="00D96B24" w:rsidRPr="00485619" w:rsidRDefault="00D96B24" w:rsidP="00485619">
      <w:pPr>
        <w:numPr>
          <w:ilvl w:val="0"/>
          <w:numId w:val="6"/>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Normas Técnicas para la Gestión y el Control de las Tecnologías de Información (N-2-2007-CO-CFOE)</w:t>
      </w:r>
    </w:p>
    <w:p w14:paraId="1D4EA569" w14:textId="77777777" w:rsidR="00D96B24" w:rsidRPr="00485619" w:rsidRDefault="00D96B24" w:rsidP="00485619">
      <w:pPr>
        <w:numPr>
          <w:ilvl w:val="0"/>
          <w:numId w:val="6"/>
        </w:numPr>
        <w:spacing w:after="0" w:line="240" w:lineRule="auto"/>
        <w:jc w:val="both"/>
        <w:rPr>
          <w:rFonts w:ascii="Verdana" w:eastAsia="Times New Roman" w:hAnsi="Verdana" w:cs="Times New Roman"/>
          <w:sz w:val="24"/>
          <w:szCs w:val="24"/>
          <w:lang w:val="es-ES" w:eastAsia="es-ES"/>
        </w:rPr>
      </w:pPr>
      <w:r w:rsidRPr="00485619">
        <w:rPr>
          <w:rFonts w:ascii="Verdana" w:hAnsi="Verdana" w:cs="Times New Roman"/>
          <w:sz w:val="24"/>
          <w:szCs w:val="24"/>
        </w:rPr>
        <w:t>Política de formatos oficiales de los documentos electrónicos firmados digitalmente, emitida por la Dirección de Certificados de Firma Digital del Ministerio de Ciencia, Tecnología y Telecomunicaciones.</w:t>
      </w:r>
    </w:p>
    <w:p w14:paraId="6D2C6FD4" w14:textId="77777777" w:rsidR="006A6EA9" w:rsidRPr="00485619" w:rsidRDefault="006A6EA9" w:rsidP="00485619">
      <w:pPr>
        <w:spacing w:after="0" w:line="120" w:lineRule="auto"/>
        <w:jc w:val="both"/>
        <w:rPr>
          <w:rFonts w:ascii="Verdana" w:eastAsia="Times New Roman" w:hAnsi="Verdana" w:cs="Times New Roman"/>
          <w:b/>
          <w:bCs/>
          <w:sz w:val="24"/>
          <w:szCs w:val="24"/>
          <w:lang w:val="es-ES" w:eastAsia="es-ES"/>
        </w:rPr>
      </w:pPr>
    </w:p>
    <w:p w14:paraId="5CCB0B2E" w14:textId="77777777" w:rsidR="006A6EA9" w:rsidRPr="00485619" w:rsidRDefault="006A6EA9" w:rsidP="00485619">
      <w:pPr>
        <w:spacing w:after="0" w:line="120" w:lineRule="auto"/>
        <w:jc w:val="both"/>
        <w:rPr>
          <w:rFonts w:ascii="Verdana" w:eastAsia="Times New Roman" w:hAnsi="Verdana" w:cs="Times New Roman"/>
          <w:b/>
          <w:bCs/>
          <w:sz w:val="24"/>
          <w:szCs w:val="24"/>
          <w:lang w:val="es-ES" w:eastAsia="es-ES"/>
        </w:rPr>
      </w:pPr>
    </w:p>
    <w:p w14:paraId="7478C497" w14:textId="2C8593A7" w:rsidR="003434C5"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Entre lo</w:t>
      </w:r>
      <w:r w:rsidR="008E0B71" w:rsidRPr="00485619">
        <w:rPr>
          <w:rFonts w:ascii="Verdana" w:eastAsia="Times New Roman" w:hAnsi="Verdana" w:cs="Times New Roman"/>
          <w:sz w:val="24"/>
          <w:szCs w:val="24"/>
          <w:lang w:val="es-ES" w:eastAsia="es-ES"/>
        </w:rPr>
        <w:t>s resultados sobresale que el 8</w:t>
      </w:r>
      <w:r w:rsidR="00CD4FF7" w:rsidRPr="00485619">
        <w:rPr>
          <w:rFonts w:ascii="Verdana" w:eastAsia="Times New Roman" w:hAnsi="Verdana" w:cs="Times New Roman"/>
          <w:sz w:val="24"/>
          <w:szCs w:val="24"/>
          <w:lang w:val="es-ES" w:eastAsia="es-ES"/>
        </w:rPr>
        <w:t>5.</w:t>
      </w:r>
      <w:r w:rsidR="008E0B71" w:rsidRPr="00485619">
        <w:rPr>
          <w:rFonts w:ascii="Verdana" w:eastAsia="Times New Roman" w:hAnsi="Verdana" w:cs="Times New Roman"/>
          <w:sz w:val="24"/>
          <w:szCs w:val="24"/>
          <w:lang w:val="es-ES" w:eastAsia="es-ES"/>
        </w:rPr>
        <w:t>1</w:t>
      </w:r>
      <w:r w:rsidRPr="00485619">
        <w:rPr>
          <w:rFonts w:ascii="Verdana" w:eastAsia="Times New Roman" w:hAnsi="Verdana" w:cs="Times New Roman"/>
          <w:sz w:val="24"/>
          <w:szCs w:val="24"/>
          <w:lang w:val="es-ES" w:eastAsia="es-ES"/>
        </w:rPr>
        <w:t xml:space="preserve">% de las instituciones señalaron cumplir con la legislación antes mencionada de manera parcial o total y solamente el </w:t>
      </w:r>
      <w:r w:rsidR="00CD4FF7" w:rsidRPr="00485619">
        <w:rPr>
          <w:rFonts w:ascii="Verdana" w:eastAsia="Times New Roman" w:hAnsi="Verdana" w:cs="Times New Roman"/>
          <w:sz w:val="24"/>
          <w:szCs w:val="24"/>
          <w:lang w:val="es-ES" w:eastAsia="es-ES"/>
        </w:rPr>
        <w:t>14.9</w:t>
      </w:r>
      <w:r w:rsidRPr="00485619">
        <w:rPr>
          <w:rFonts w:ascii="Verdana" w:eastAsia="Times New Roman" w:hAnsi="Verdana" w:cs="Times New Roman"/>
          <w:sz w:val="24"/>
          <w:szCs w:val="24"/>
          <w:lang w:val="es-ES" w:eastAsia="es-ES"/>
        </w:rPr>
        <w:t xml:space="preserve">% </w:t>
      </w:r>
      <w:r w:rsidR="00CD4FF7" w:rsidRPr="00485619">
        <w:rPr>
          <w:rFonts w:ascii="Verdana" w:eastAsia="Times New Roman" w:hAnsi="Verdana" w:cs="Times New Roman"/>
          <w:sz w:val="24"/>
          <w:szCs w:val="24"/>
          <w:lang w:val="es-ES" w:eastAsia="es-ES"/>
        </w:rPr>
        <w:t>incumplen</w:t>
      </w:r>
      <w:r w:rsidRPr="00485619">
        <w:rPr>
          <w:rFonts w:ascii="Verdana" w:eastAsia="Times New Roman" w:hAnsi="Verdana" w:cs="Times New Roman"/>
          <w:sz w:val="24"/>
          <w:szCs w:val="24"/>
          <w:lang w:val="es-ES" w:eastAsia="es-ES"/>
        </w:rPr>
        <w:t xml:space="preserve"> o no respondieron a la pregunta. A continuación un cuadro que refleja el nivel de cumplimiento de cada una de las normas evaluadas: </w:t>
      </w:r>
    </w:p>
    <w:p w14:paraId="17A05B4E" w14:textId="77777777" w:rsidR="00302887" w:rsidRPr="00485619" w:rsidRDefault="00302887" w:rsidP="00485619">
      <w:pPr>
        <w:spacing w:after="0" w:line="240" w:lineRule="auto"/>
        <w:jc w:val="both"/>
        <w:rPr>
          <w:rFonts w:ascii="Verdana" w:eastAsia="Times New Roman" w:hAnsi="Verdana" w:cs="Times New Roman"/>
          <w:sz w:val="24"/>
          <w:szCs w:val="24"/>
          <w:highlight w:val="yellow"/>
          <w:lang w:val="es-ES" w:eastAsia="es-ES"/>
        </w:rPr>
      </w:pPr>
    </w:p>
    <w:tbl>
      <w:tblPr>
        <w:tblW w:w="9287" w:type="dxa"/>
        <w:jc w:val="center"/>
        <w:tblCellMar>
          <w:left w:w="70" w:type="dxa"/>
          <w:right w:w="70" w:type="dxa"/>
        </w:tblCellMar>
        <w:tblLook w:val="04A0" w:firstRow="1" w:lastRow="0" w:firstColumn="1" w:lastColumn="0" w:noHBand="0" w:noVBand="1"/>
      </w:tblPr>
      <w:tblGrid>
        <w:gridCol w:w="4235"/>
        <w:gridCol w:w="745"/>
        <w:gridCol w:w="745"/>
        <w:gridCol w:w="1148"/>
        <w:gridCol w:w="1501"/>
        <w:gridCol w:w="913"/>
      </w:tblGrid>
      <w:tr w:rsidR="00302887" w:rsidRPr="00485619" w14:paraId="6A59DE7F" w14:textId="77777777" w:rsidTr="00407698">
        <w:trPr>
          <w:trHeight w:val="181"/>
          <w:jc w:val="center"/>
        </w:trPr>
        <w:tc>
          <w:tcPr>
            <w:tcW w:w="9287" w:type="dxa"/>
            <w:gridSpan w:val="6"/>
            <w:tcBorders>
              <w:top w:val="nil"/>
              <w:left w:val="nil"/>
              <w:bottom w:val="nil"/>
              <w:right w:val="nil"/>
            </w:tcBorders>
            <w:shd w:val="clear" w:color="auto" w:fill="auto"/>
            <w:noWrap/>
            <w:vAlign w:val="bottom"/>
            <w:hideMark/>
          </w:tcPr>
          <w:p w14:paraId="7DDB8A69" w14:textId="2074D0D4" w:rsidR="00302887" w:rsidRPr="00407698" w:rsidRDefault="00407698"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Cuadro 4</w:t>
            </w:r>
          </w:p>
        </w:tc>
      </w:tr>
      <w:tr w:rsidR="00302887" w:rsidRPr="00485619" w14:paraId="2D828968" w14:textId="77777777" w:rsidTr="00407698">
        <w:trPr>
          <w:trHeight w:val="181"/>
          <w:jc w:val="center"/>
        </w:trPr>
        <w:tc>
          <w:tcPr>
            <w:tcW w:w="9287" w:type="dxa"/>
            <w:gridSpan w:val="6"/>
            <w:tcBorders>
              <w:top w:val="nil"/>
              <w:left w:val="nil"/>
              <w:bottom w:val="single" w:sz="4" w:space="0" w:color="auto"/>
              <w:right w:val="nil"/>
            </w:tcBorders>
            <w:shd w:val="clear" w:color="auto" w:fill="auto"/>
            <w:vAlign w:val="center"/>
            <w:hideMark/>
          </w:tcPr>
          <w:p w14:paraId="14B98DD3"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Porcentajes de cumplimiento de la normativa relacionada con nuevos soportes documentales, periodo 2014-2015</w:t>
            </w:r>
          </w:p>
        </w:tc>
      </w:tr>
      <w:tr w:rsidR="00302887" w:rsidRPr="00407698" w14:paraId="7CF88D15" w14:textId="77777777" w:rsidTr="00407698">
        <w:trPr>
          <w:trHeight w:val="181"/>
          <w:jc w:val="center"/>
        </w:trPr>
        <w:tc>
          <w:tcPr>
            <w:tcW w:w="4235" w:type="dxa"/>
            <w:tcBorders>
              <w:top w:val="nil"/>
              <w:left w:val="nil"/>
              <w:bottom w:val="single" w:sz="4" w:space="0" w:color="auto"/>
              <w:right w:val="nil"/>
            </w:tcBorders>
            <w:shd w:val="clear" w:color="auto" w:fill="auto"/>
            <w:noWrap/>
            <w:vAlign w:val="center"/>
            <w:hideMark/>
          </w:tcPr>
          <w:p w14:paraId="03DE25A3"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Normativa</w:t>
            </w:r>
          </w:p>
        </w:tc>
        <w:tc>
          <w:tcPr>
            <w:tcW w:w="745" w:type="dxa"/>
            <w:tcBorders>
              <w:top w:val="nil"/>
              <w:left w:val="nil"/>
              <w:bottom w:val="single" w:sz="4" w:space="0" w:color="auto"/>
              <w:right w:val="nil"/>
            </w:tcBorders>
            <w:shd w:val="clear" w:color="auto" w:fill="auto"/>
            <w:noWrap/>
            <w:vAlign w:val="center"/>
            <w:hideMark/>
          </w:tcPr>
          <w:p w14:paraId="7C56A34C"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Si</w:t>
            </w:r>
          </w:p>
        </w:tc>
        <w:tc>
          <w:tcPr>
            <w:tcW w:w="745" w:type="dxa"/>
            <w:tcBorders>
              <w:top w:val="nil"/>
              <w:left w:val="nil"/>
              <w:bottom w:val="single" w:sz="4" w:space="0" w:color="auto"/>
              <w:right w:val="nil"/>
            </w:tcBorders>
            <w:shd w:val="clear" w:color="auto" w:fill="auto"/>
            <w:noWrap/>
            <w:vAlign w:val="center"/>
            <w:hideMark/>
          </w:tcPr>
          <w:p w14:paraId="22C38695"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No</w:t>
            </w:r>
          </w:p>
        </w:tc>
        <w:tc>
          <w:tcPr>
            <w:tcW w:w="1148" w:type="dxa"/>
            <w:tcBorders>
              <w:top w:val="nil"/>
              <w:left w:val="nil"/>
              <w:bottom w:val="single" w:sz="4" w:space="0" w:color="auto"/>
              <w:right w:val="nil"/>
            </w:tcBorders>
            <w:shd w:val="clear" w:color="auto" w:fill="auto"/>
            <w:noWrap/>
            <w:vAlign w:val="center"/>
            <w:hideMark/>
          </w:tcPr>
          <w:p w14:paraId="420ED23A"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Parcial</w:t>
            </w:r>
          </w:p>
        </w:tc>
        <w:tc>
          <w:tcPr>
            <w:tcW w:w="1501" w:type="dxa"/>
            <w:tcBorders>
              <w:top w:val="nil"/>
              <w:left w:val="nil"/>
              <w:bottom w:val="single" w:sz="4" w:space="0" w:color="auto"/>
              <w:right w:val="nil"/>
            </w:tcBorders>
            <w:shd w:val="clear" w:color="auto" w:fill="auto"/>
            <w:noWrap/>
            <w:vAlign w:val="center"/>
            <w:hideMark/>
          </w:tcPr>
          <w:p w14:paraId="4DA3DB94"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No responde</w:t>
            </w:r>
          </w:p>
        </w:tc>
        <w:tc>
          <w:tcPr>
            <w:tcW w:w="911" w:type="dxa"/>
            <w:tcBorders>
              <w:top w:val="nil"/>
              <w:left w:val="nil"/>
              <w:bottom w:val="single" w:sz="4" w:space="0" w:color="auto"/>
              <w:right w:val="nil"/>
            </w:tcBorders>
            <w:shd w:val="clear" w:color="auto" w:fill="auto"/>
            <w:noWrap/>
            <w:vAlign w:val="center"/>
            <w:hideMark/>
          </w:tcPr>
          <w:p w14:paraId="222B94CF"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Total</w:t>
            </w:r>
          </w:p>
        </w:tc>
      </w:tr>
      <w:tr w:rsidR="00302887" w:rsidRPr="00485619" w14:paraId="531AFBAA" w14:textId="77777777" w:rsidTr="00407698">
        <w:trPr>
          <w:trHeight w:val="341"/>
          <w:jc w:val="center"/>
        </w:trPr>
        <w:tc>
          <w:tcPr>
            <w:tcW w:w="4235" w:type="dxa"/>
            <w:tcBorders>
              <w:top w:val="nil"/>
              <w:left w:val="nil"/>
              <w:bottom w:val="nil"/>
              <w:right w:val="nil"/>
            </w:tcBorders>
            <w:shd w:val="clear" w:color="auto" w:fill="auto"/>
            <w:vAlign w:val="center"/>
            <w:hideMark/>
          </w:tcPr>
          <w:p w14:paraId="66494E32"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Directriz sobre la Administración de los documentos producidos por medios automatizados</w:t>
            </w:r>
          </w:p>
        </w:tc>
        <w:tc>
          <w:tcPr>
            <w:tcW w:w="745" w:type="dxa"/>
            <w:tcBorders>
              <w:top w:val="nil"/>
              <w:left w:val="nil"/>
              <w:bottom w:val="nil"/>
              <w:right w:val="nil"/>
            </w:tcBorders>
            <w:shd w:val="clear" w:color="auto" w:fill="auto"/>
            <w:vAlign w:val="center"/>
            <w:hideMark/>
          </w:tcPr>
          <w:p w14:paraId="2549BFD7"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47,1</w:t>
            </w:r>
          </w:p>
        </w:tc>
        <w:tc>
          <w:tcPr>
            <w:tcW w:w="745" w:type="dxa"/>
            <w:tcBorders>
              <w:top w:val="nil"/>
              <w:left w:val="nil"/>
              <w:bottom w:val="nil"/>
              <w:right w:val="nil"/>
            </w:tcBorders>
            <w:shd w:val="clear" w:color="auto" w:fill="auto"/>
            <w:vAlign w:val="center"/>
            <w:hideMark/>
          </w:tcPr>
          <w:p w14:paraId="19514F42"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9,2</w:t>
            </w:r>
          </w:p>
        </w:tc>
        <w:tc>
          <w:tcPr>
            <w:tcW w:w="1148" w:type="dxa"/>
            <w:tcBorders>
              <w:top w:val="nil"/>
              <w:left w:val="nil"/>
              <w:bottom w:val="nil"/>
              <w:right w:val="nil"/>
            </w:tcBorders>
            <w:shd w:val="clear" w:color="auto" w:fill="auto"/>
            <w:vAlign w:val="center"/>
            <w:hideMark/>
          </w:tcPr>
          <w:p w14:paraId="5F5A5AA3"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42,0</w:t>
            </w:r>
          </w:p>
        </w:tc>
        <w:tc>
          <w:tcPr>
            <w:tcW w:w="1501" w:type="dxa"/>
            <w:tcBorders>
              <w:top w:val="nil"/>
              <w:left w:val="nil"/>
              <w:bottom w:val="nil"/>
              <w:right w:val="nil"/>
            </w:tcBorders>
            <w:shd w:val="clear" w:color="auto" w:fill="auto"/>
            <w:vAlign w:val="center"/>
            <w:hideMark/>
          </w:tcPr>
          <w:p w14:paraId="2853F9E1"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1,7</w:t>
            </w:r>
          </w:p>
        </w:tc>
        <w:tc>
          <w:tcPr>
            <w:tcW w:w="911" w:type="dxa"/>
            <w:tcBorders>
              <w:top w:val="nil"/>
              <w:left w:val="nil"/>
              <w:bottom w:val="nil"/>
              <w:right w:val="nil"/>
            </w:tcBorders>
            <w:shd w:val="clear" w:color="auto" w:fill="auto"/>
            <w:vAlign w:val="center"/>
            <w:hideMark/>
          </w:tcPr>
          <w:p w14:paraId="38A5FE56"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100,0</w:t>
            </w:r>
          </w:p>
        </w:tc>
      </w:tr>
      <w:tr w:rsidR="00302887" w:rsidRPr="00485619" w14:paraId="618B09BD" w14:textId="77777777" w:rsidTr="00407698">
        <w:trPr>
          <w:trHeight w:val="242"/>
          <w:jc w:val="center"/>
        </w:trPr>
        <w:tc>
          <w:tcPr>
            <w:tcW w:w="4235" w:type="dxa"/>
            <w:tcBorders>
              <w:top w:val="nil"/>
              <w:left w:val="nil"/>
              <w:bottom w:val="nil"/>
              <w:right w:val="nil"/>
            </w:tcBorders>
            <w:shd w:val="clear" w:color="auto" w:fill="auto"/>
            <w:noWrap/>
            <w:vAlign w:val="center"/>
            <w:hideMark/>
          </w:tcPr>
          <w:p w14:paraId="4D357B1B"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Ley de Certificados, Firmas Digitales y Documentos Electrónicos</w:t>
            </w:r>
          </w:p>
        </w:tc>
        <w:tc>
          <w:tcPr>
            <w:tcW w:w="745" w:type="dxa"/>
            <w:tcBorders>
              <w:top w:val="nil"/>
              <w:left w:val="nil"/>
              <w:bottom w:val="nil"/>
              <w:right w:val="nil"/>
            </w:tcBorders>
            <w:shd w:val="clear" w:color="auto" w:fill="auto"/>
            <w:noWrap/>
            <w:vAlign w:val="center"/>
            <w:hideMark/>
          </w:tcPr>
          <w:p w14:paraId="17C08630"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41,2</w:t>
            </w:r>
          </w:p>
        </w:tc>
        <w:tc>
          <w:tcPr>
            <w:tcW w:w="745" w:type="dxa"/>
            <w:tcBorders>
              <w:top w:val="nil"/>
              <w:left w:val="nil"/>
              <w:bottom w:val="nil"/>
              <w:right w:val="nil"/>
            </w:tcBorders>
            <w:shd w:val="clear" w:color="auto" w:fill="auto"/>
            <w:noWrap/>
            <w:vAlign w:val="center"/>
            <w:hideMark/>
          </w:tcPr>
          <w:p w14:paraId="4FE8AEF0"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16,8</w:t>
            </w:r>
          </w:p>
        </w:tc>
        <w:tc>
          <w:tcPr>
            <w:tcW w:w="1148" w:type="dxa"/>
            <w:tcBorders>
              <w:top w:val="nil"/>
              <w:left w:val="nil"/>
              <w:bottom w:val="nil"/>
              <w:right w:val="nil"/>
            </w:tcBorders>
            <w:shd w:val="clear" w:color="auto" w:fill="auto"/>
            <w:noWrap/>
            <w:vAlign w:val="center"/>
            <w:hideMark/>
          </w:tcPr>
          <w:p w14:paraId="2C8BFC50"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42,0</w:t>
            </w:r>
          </w:p>
        </w:tc>
        <w:tc>
          <w:tcPr>
            <w:tcW w:w="1501" w:type="dxa"/>
            <w:tcBorders>
              <w:top w:val="nil"/>
              <w:left w:val="nil"/>
              <w:bottom w:val="nil"/>
              <w:right w:val="nil"/>
            </w:tcBorders>
            <w:shd w:val="clear" w:color="auto" w:fill="auto"/>
            <w:noWrap/>
            <w:vAlign w:val="center"/>
            <w:hideMark/>
          </w:tcPr>
          <w:p w14:paraId="115B5BB6"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0,0</w:t>
            </w:r>
          </w:p>
        </w:tc>
        <w:tc>
          <w:tcPr>
            <w:tcW w:w="911" w:type="dxa"/>
            <w:tcBorders>
              <w:top w:val="nil"/>
              <w:left w:val="nil"/>
              <w:bottom w:val="nil"/>
              <w:right w:val="nil"/>
            </w:tcBorders>
            <w:shd w:val="clear" w:color="auto" w:fill="auto"/>
            <w:noWrap/>
            <w:vAlign w:val="center"/>
            <w:hideMark/>
          </w:tcPr>
          <w:p w14:paraId="78DA1600"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100,0</w:t>
            </w:r>
          </w:p>
        </w:tc>
      </w:tr>
      <w:tr w:rsidR="00302887" w:rsidRPr="00485619" w14:paraId="4F4EB9DB" w14:textId="77777777" w:rsidTr="00407698">
        <w:trPr>
          <w:trHeight w:val="223"/>
          <w:jc w:val="center"/>
        </w:trPr>
        <w:tc>
          <w:tcPr>
            <w:tcW w:w="4235" w:type="dxa"/>
            <w:tcBorders>
              <w:top w:val="nil"/>
              <w:left w:val="nil"/>
              <w:bottom w:val="nil"/>
              <w:right w:val="nil"/>
            </w:tcBorders>
            <w:shd w:val="clear" w:color="auto" w:fill="auto"/>
            <w:noWrap/>
            <w:vAlign w:val="center"/>
            <w:hideMark/>
          </w:tcPr>
          <w:p w14:paraId="2E018EB9"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Ley General de Control Interno</w:t>
            </w:r>
          </w:p>
        </w:tc>
        <w:tc>
          <w:tcPr>
            <w:tcW w:w="745" w:type="dxa"/>
            <w:tcBorders>
              <w:top w:val="nil"/>
              <w:left w:val="nil"/>
              <w:bottom w:val="nil"/>
              <w:right w:val="nil"/>
            </w:tcBorders>
            <w:shd w:val="clear" w:color="auto" w:fill="auto"/>
            <w:noWrap/>
            <w:vAlign w:val="center"/>
            <w:hideMark/>
          </w:tcPr>
          <w:p w14:paraId="0CCD1ABD"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54,6</w:t>
            </w:r>
          </w:p>
        </w:tc>
        <w:tc>
          <w:tcPr>
            <w:tcW w:w="745" w:type="dxa"/>
            <w:tcBorders>
              <w:top w:val="nil"/>
              <w:left w:val="nil"/>
              <w:bottom w:val="nil"/>
              <w:right w:val="nil"/>
            </w:tcBorders>
            <w:shd w:val="clear" w:color="auto" w:fill="auto"/>
            <w:noWrap/>
            <w:vAlign w:val="center"/>
            <w:hideMark/>
          </w:tcPr>
          <w:p w14:paraId="33877BBC"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3,4</w:t>
            </w:r>
          </w:p>
        </w:tc>
        <w:tc>
          <w:tcPr>
            <w:tcW w:w="1148" w:type="dxa"/>
            <w:tcBorders>
              <w:top w:val="nil"/>
              <w:left w:val="nil"/>
              <w:bottom w:val="nil"/>
              <w:right w:val="nil"/>
            </w:tcBorders>
            <w:shd w:val="clear" w:color="auto" w:fill="auto"/>
            <w:noWrap/>
            <w:vAlign w:val="center"/>
            <w:hideMark/>
          </w:tcPr>
          <w:p w14:paraId="6FA2A22D"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42,0</w:t>
            </w:r>
          </w:p>
        </w:tc>
        <w:tc>
          <w:tcPr>
            <w:tcW w:w="1501" w:type="dxa"/>
            <w:tcBorders>
              <w:top w:val="nil"/>
              <w:left w:val="nil"/>
              <w:bottom w:val="nil"/>
              <w:right w:val="nil"/>
            </w:tcBorders>
            <w:shd w:val="clear" w:color="auto" w:fill="auto"/>
            <w:noWrap/>
            <w:vAlign w:val="center"/>
            <w:hideMark/>
          </w:tcPr>
          <w:p w14:paraId="4D34921B"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0,0</w:t>
            </w:r>
          </w:p>
        </w:tc>
        <w:tc>
          <w:tcPr>
            <w:tcW w:w="911" w:type="dxa"/>
            <w:tcBorders>
              <w:top w:val="nil"/>
              <w:left w:val="nil"/>
              <w:bottom w:val="nil"/>
              <w:right w:val="nil"/>
            </w:tcBorders>
            <w:shd w:val="clear" w:color="auto" w:fill="auto"/>
            <w:noWrap/>
            <w:vAlign w:val="center"/>
            <w:hideMark/>
          </w:tcPr>
          <w:p w14:paraId="74D5F617"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100,0</w:t>
            </w:r>
          </w:p>
        </w:tc>
      </w:tr>
      <w:tr w:rsidR="00302887" w:rsidRPr="00485619" w14:paraId="04B89E50" w14:textId="77777777" w:rsidTr="00407698">
        <w:trPr>
          <w:trHeight w:val="237"/>
          <w:jc w:val="center"/>
        </w:trPr>
        <w:tc>
          <w:tcPr>
            <w:tcW w:w="4235" w:type="dxa"/>
            <w:tcBorders>
              <w:top w:val="nil"/>
              <w:left w:val="nil"/>
              <w:bottom w:val="nil"/>
              <w:right w:val="nil"/>
            </w:tcBorders>
            <w:shd w:val="clear" w:color="auto" w:fill="auto"/>
            <w:noWrap/>
            <w:vAlign w:val="center"/>
            <w:hideMark/>
          </w:tcPr>
          <w:p w14:paraId="1A3CD6CF"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Normas Técnicas</w:t>
            </w:r>
          </w:p>
        </w:tc>
        <w:tc>
          <w:tcPr>
            <w:tcW w:w="745" w:type="dxa"/>
            <w:tcBorders>
              <w:top w:val="nil"/>
              <w:left w:val="nil"/>
              <w:bottom w:val="nil"/>
              <w:right w:val="nil"/>
            </w:tcBorders>
            <w:shd w:val="clear" w:color="auto" w:fill="auto"/>
            <w:noWrap/>
            <w:vAlign w:val="center"/>
            <w:hideMark/>
          </w:tcPr>
          <w:p w14:paraId="2B098B48"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41,2</w:t>
            </w:r>
          </w:p>
        </w:tc>
        <w:tc>
          <w:tcPr>
            <w:tcW w:w="745" w:type="dxa"/>
            <w:tcBorders>
              <w:top w:val="nil"/>
              <w:left w:val="nil"/>
              <w:bottom w:val="nil"/>
              <w:right w:val="nil"/>
            </w:tcBorders>
            <w:shd w:val="clear" w:color="auto" w:fill="auto"/>
            <w:noWrap/>
            <w:vAlign w:val="center"/>
            <w:hideMark/>
          </w:tcPr>
          <w:p w14:paraId="283118F5"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11,8</w:t>
            </w:r>
          </w:p>
        </w:tc>
        <w:tc>
          <w:tcPr>
            <w:tcW w:w="1148" w:type="dxa"/>
            <w:tcBorders>
              <w:top w:val="nil"/>
              <w:left w:val="nil"/>
              <w:bottom w:val="nil"/>
              <w:right w:val="nil"/>
            </w:tcBorders>
            <w:shd w:val="clear" w:color="auto" w:fill="auto"/>
            <w:noWrap/>
            <w:vAlign w:val="center"/>
            <w:hideMark/>
          </w:tcPr>
          <w:p w14:paraId="7E9733A2"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47,1</w:t>
            </w:r>
          </w:p>
        </w:tc>
        <w:tc>
          <w:tcPr>
            <w:tcW w:w="1501" w:type="dxa"/>
            <w:tcBorders>
              <w:top w:val="nil"/>
              <w:left w:val="nil"/>
              <w:bottom w:val="nil"/>
              <w:right w:val="nil"/>
            </w:tcBorders>
            <w:shd w:val="clear" w:color="auto" w:fill="auto"/>
            <w:noWrap/>
            <w:vAlign w:val="center"/>
            <w:hideMark/>
          </w:tcPr>
          <w:p w14:paraId="09A4DCBE"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0,0</w:t>
            </w:r>
          </w:p>
        </w:tc>
        <w:tc>
          <w:tcPr>
            <w:tcW w:w="911" w:type="dxa"/>
            <w:tcBorders>
              <w:top w:val="nil"/>
              <w:left w:val="nil"/>
              <w:bottom w:val="nil"/>
              <w:right w:val="nil"/>
            </w:tcBorders>
            <w:shd w:val="clear" w:color="auto" w:fill="auto"/>
            <w:noWrap/>
            <w:vAlign w:val="center"/>
            <w:hideMark/>
          </w:tcPr>
          <w:p w14:paraId="14B5277D"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100,0</w:t>
            </w:r>
          </w:p>
        </w:tc>
      </w:tr>
      <w:tr w:rsidR="00302887" w:rsidRPr="00485619" w14:paraId="50FB04B1" w14:textId="77777777" w:rsidTr="00407698">
        <w:trPr>
          <w:trHeight w:val="477"/>
          <w:jc w:val="center"/>
        </w:trPr>
        <w:tc>
          <w:tcPr>
            <w:tcW w:w="4235" w:type="dxa"/>
            <w:tcBorders>
              <w:top w:val="nil"/>
              <w:left w:val="nil"/>
              <w:bottom w:val="nil"/>
              <w:right w:val="nil"/>
            </w:tcBorders>
            <w:shd w:val="clear" w:color="auto" w:fill="auto"/>
            <w:vAlign w:val="center"/>
            <w:hideMark/>
          </w:tcPr>
          <w:p w14:paraId="399E0382"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Política de formatos oficiales de los documentos electrónicos firmados digitalmente</w:t>
            </w:r>
          </w:p>
        </w:tc>
        <w:tc>
          <w:tcPr>
            <w:tcW w:w="745" w:type="dxa"/>
            <w:tcBorders>
              <w:top w:val="nil"/>
              <w:left w:val="nil"/>
              <w:bottom w:val="nil"/>
              <w:right w:val="nil"/>
            </w:tcBorders>
            <w:shd w:val="clear" w:color="auto" w:fill="auto"/>
            <w:noWrap/>
            <w:vAlign w:val="center"/>
            <w:hideMark/>
          </w:tcPr>
          <w:p w14:paraId="7DF95EA6"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32,8</w:t>
            </w:r>
          </w:p>
        </w:tc>
        <w:tc>
          <w:tcPr>
            <w:tcW w:w="745" w:type="dxa"/>
            <w:tcBorders>
              <w:top w:val="nil"/>
              <w:left w:val="nil"/>
              <w:bottom w:val="nil"/>
              <w:right w:val="nil"/>
            </w:tcBorders>
            <w:shd w:val="clear" w:color="auto" w:fill="auto"/>
            <w:noWrap/>
            <w:vAlign w:val="center"/>
            <w:hideMark/>
          </w:tcPr>
          <w:p w14:paraId="62B110FF"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29,4</w:t>
            </w:r>
          </w:p>
        </w:tc>
        <w:tc>
          <w:tcPr>
            <w:tcW w:w="1148" w:type="dxa"/>
            <w:tcBorders>
              <w:top w:val="nil"/>
              <w:left w:val="nil"/>
              <w:bottom w:val="nil"/>
              <w:right w:val="nil"/>
            </w:tcBorders>
            <w:shd w:val="clear" w:color="auto" w:fill="auto"/>
            <w:noWrap/>
            <w:vAlign w:val="center"/>
            <w:hideMark/>
          </w:tcPr>
          <w:p w14:paraId="3DE5E8DE"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35,3</w:t>
            </w:r>
          </w:p>
        </w:tc>
        <w:tc>
          <w:tcPr>
            <w:tcW w:w="1501" w:type="dxa"/>
            <w:tcBorders>
              <w:top w:val="nil"/>
              <w:left w:val="nil"/>
              <w:bottom w:val="nil"/>
              <w:right w:val="nil"/>
            </w:tcBorders>
            <w:shd w:val="clear" w:color="auto" w:fill="auto"/>
            <w:noWrap/>
            <w:vAlign w:val="center"/>
            <w:hideMark/>
          </w:tcPr>
          <w:p w14:paraId="38236B82"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2,5</w:t>
            </w:r>
          </w:p>
        </w:tc>
        <w:tc>
          <w:tcPr>
            <w:tcW w:w="911" w:type="dxa"/>
            <w:tcBorders>
              <w:top w:val="nil"/>
              <w:left w:val="nil"/>
              <w:bottom w:val="nil"/>
              <w:right w:val="nil"/>
            </w:tcBorders>
            <w:shd w:val="clear" w:color="auto" w:fill="auto"/>
            <w:noWrap/>
            <w:vAlign w:val="center"/>
            <w:hideMark/>
          </w:tcPr>
          <w:p w14:paraId="41E0326B" w14:textId="77777777" w:rsidR="00302887" w:rsidRPr="00407698" w:rsidRDefault="00302887" w:rsidP="00407698">
            <w:pPr>
              <w:spacing w:after="0" w:line="240" w:lineRule="auto"/>
              <w:jc w:val="center"/>
              <w:rPr>
                <w:rFonts w:ascii="Verdana" w:eastAsia="Times New Roman" w:hAnsi="Verdana" w:cs="Arial"/>
                <w:bCs/>
                <w:lang w:val="es-ES" w:eastAsia="es-CR"/>
              </w:rPr>
            </w:pPr>
            <w:r w:rsidRPr="00407698">
              <w:rPr>
                <w:rFonts w:ascii="Verdana" w:eastAsia="Times New Roman" w:hAnsi="Verdana" w:cs="Arial"/>
                <w:bCs/>
                <w:lang w:val="es-ES" w:eastAsia="es-CR"/>
              </w:rPr>
              <w:t>100,0</w:t>
            </w:r>
          </w:p>
        </w:tc>
      </w:tr>
      <w:tr w:rsidR="00302887" w:rsidRPr="00407698" w14:paraId="18E9FB70" w14:textId="77777777" w:rsidTr="00407698">
        <w:trPr>
          <w:trHeight w:val="353"/>
          <w:jc w:val="center"/>
        </w:trPr>
        <w:tc>
          <w:tcPr>
            <w:tcW w:w="4235" w:type="dxa"/>
            <w:tcBorders>
              <w:top w:val="nil"/>
              <w:left w:val="nil"/>
              <w:bottom w:val="single" w:sz="4" w:space="0" w:color="auto"/>
              <w:right w:val="nil"/>
            </w:tcBorders>
            <w:shd w:val="clear" w:color="auto" w:fill="auto"/>
            <w:noWrap/>
            <w:vAlign w:val="center"/>
            <w:hideMark/>
          </w:tcPr>
          <w:p w14:paraId="48EFE1A0"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Promedio</w:t>
            </w:r>
          </w:p>
        </w:tc>
        <w:tc>
          <w:tcPr>
            <w:tcW w:w="745" w:type="dxa"/>
            <w:tcBorders>
              <w:top w:val="nil"/>
              <w:left w:val="nil"/>
              <w:bottom w:val="single" w:sz="4" w:space="0" w:color="auto"/>
              <w:right w:val="nil"/>
            </w:tcBorders>
            <w:shd w:val="clear" w:color="auto" w:fill="auto"/>
            <w:noWrap/>
            <w:vAlign w:val="center"/>
            <w:hideMark/>
          </w:tcPr>
          <w:p w14:paraId="35AFA379"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43,4</w:t>
            </w:r>
          </w:p>
        </w:tc>
        <w:tc>
          <w:tcPr>
            <w:tcW w:w="745" w:type="dxa"/>
            <w:tcBorders>
              <w:top w:val="nil"/>
              <w:left w:val="nil"/>
              <w:bottom w:val="single" w:sz="4" w:space="0" w:color="auto"/>
              <w:right w:val="nil"/>
            </w:tcBorders>
            <w:shd w:val="clear" w:color="auto" w:fill="auto"/>
            <w:noWrap/>
            <w:vAlign w:val="center"/>
            <w:hideMark/>
          </w:tcPr>
          <w:p w14:paraId="2E1F2576"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14,1</w:t>
            </w:r>
          </w:p>
        </w:tc>
        <w:tc>
          <w:tcPr>
            <w:tcW w:w="1148" w:type="dxa"/>
            <w:tcBorders>
              <w:top w:val="nil"/>
              <w:left w:val="nil"/>
              <w:bottom w:val="single" w:sz="4" w:space="0" w:color="auto"/>
              <w:right w:val="nil"/>
            </w:tcBorders>
            <w:shd w:val="clear" w:color="auto" w:fill="auto"/>
            <w:noWrap/>
            <w:vAlign w:val="center"/>
            <w:hideMark/>
          </w:tcPr>
          <w:p w14:paraId="7BECE4CC"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41,7</w:t>
            </w:r>
          </w:p>
        </w:tc>
        <w:tc>
          <w:tcPr>
            <w:tcW w:w="1501" w:type="dxa"/>
            <w:tcBorders>
              <w:top w:val="nil"/>
              <w:left w:val="nil"/>
              <w:bottom w:val="single" w:sz="4" w:space="0" w:color="auto"/>
              <w:right w:val="nil"/>
            </w:tcBorders>
            <w:shd w:val="clear" w:color="auto" w:fill="auto"/>
            <w:noWrap/>
            <w:vAlign w:val="center"/>
            <w:hideMark/>
          </w:tcPr>
          <w:p w14:paraId="4A126A82"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0,8</w:t>
            </w:r>
          </w:p>
        </w:tc>
        <w:tc>
          <w:tcPr>
            <w:tcW w:w="911" w:type="dxa"/>
            <w:tcBorders>
              <w:top w:val="nil"/>
              <w:left w:val="nil"/>
              <w:bottom w:val="single" w:sz="4" w:space="0" w:color="auto"/>
              <w:right w:val="nil"/>
            </w:tcBorders>
            <w:shd w:val="clear" w:color="auto" w:fill="auto"/>
            <w:noWrap/>
            <w:vAlign w:val="center"/>
            <w:hideMark/>
          </w:tcPr>
          <w:p w14:paraId="3F8CD591" w14:textId="77777777" w:rsidR="00302887" w:rsidRPr="00407698" w:rsidRDefault="00302887" w:rsidP="00407698">
            <w:pPr>
              <w:spacing w:after="0" w:line="240" w:lineRule="auto"/>
              <w:jc w:val="center"/>
              <w:rPr>
                <w:rFonts w:ascii="Verdana" w:eastAsia="Times New Roman" w:hAnsi="Verdana" w:cs="Arial"/>
                <w:b/>
                <w:bCs/>
                <w:lang w:val="es-ES" w:eastAsia="es-CR"/>
              </w:rPr>
            </w:pPr>
            <w:r w:rsidRPr="00407698">
              <w:rPr>
                <w:rFonts w:ascii="Verdana" w:eastAsia="Times New Roman" w:hAnsi="Verdana" w:cs="Arial"/>
                <w:b/>
                <w:bCs/>
                <w:lang w:val="es-ES" w:eastAsia="es-CR"/>
              </w:rPr>
              <w:t>100,0</w:t>
            </w:r>
          </w:p>
        </w:tc>
      </w:tr>
    </w:tbl>
    <w:p w14:paraId="2AE6E733" w14:textId="77777777" w:rsidR="00214665" w:rsidRPr="00485619" w:rsidRDefault="00214665" w:rsidP="00485619">
      <w:pPr>
        <w:spacing w:after="0" w:line="240" w:lineRule="auto"/>
        <w:jc w:val="both"/>
        <w:rPr>
          <w:rFonts w:ascii="Verdana" w:eastAsia="Times New Roman" w:hAnsi="Verdana" w:cs="Times New Roman"/>
          <w:sz w:val="24"/>
          <w:szCs w:val="24"/>
          <w:highlight w:val="yellow"/>
          <w:lang w:val="es-ES" w:eastAsia="es-ES"/>
        </w:rPr>
      </w:pPr>
    </w:p>
    <w:p w14:paraId="7740519C" w14:textId="396C2B4E" w:rsidR="00CC6BC8" w:rsidRPr="00485619" w:rsidRDefault="00803FF4"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Es primordial </w:t>
      </w:r>
      <w:r w:rsidR="00AD0F46" w:rsidRPr="00485619">
        <w:rPr>
          <w:rFonts w:ascii="Verdana" w:eastAsia="Times New Roman" w:hAnsi="Verdana" w:cs="Times New Roman"/>
          <w:sz w:val="24"/>
          <w:szCs w:val="24"/>
          <w:lang w:val="es-ES" w:eastAsia="es-ES"/>
        </w:rPr>
        <w:t>mencionar que</w:t>
      </w:r>
      <w:r w:rsidR="00901D62" w:rsidRPr="00485619">
        <w:rPr>
          <w:rFonts w:ascii="Verdana" w:eastAsia="Times New Roman" w:hAnsi="Verdana" w:cs="Times New Roman"/>
          <w:sz w:val="24"/>
          <w:szCs w:val="24"/>
          <w:lang w:val="es-ES" w:eastAsia="es-ES"/>
        </w:rPr>
        <w:t xml:space="preserve"> 86 (</w:t>
      </w:r>
      <w:r w:rsidR="005371EC" w:rsidRPr="00485619">
        <w:rPr>
          <w:rFonts w:ascii="Verdana" w:eastAsia="Times New Roman" w:hAnsi="Verdana" w:cs="Times New Roman"/>
          <w:sz w:val="24"/>
          <w:szCs w:val="24"/>
          <w:lang w:val="es-ES" w:eastAsia="es-ES"/>
        </w:rPr>
        <w:t>72.3%)</w:t>
      </w:r>
      <w:r w:rsidRPr="00485619">
        <w:rPr>
          <w:rFonts w:ascii="Verdana" w:eastAsia="Times New Roman" w:hAnsi="Verdana" w:cs="Times New Roman"/>
          <w:sz w:val="24"/>
          <w:szCs w:val="24"/>
          <w:lang w:val="es-ES" w:eastAsia="es-ES"/>
        </w:rPr>
        <w:t xml:space="preserve"> </w:t>
      </w:r>
      <w:r w:rsidR="00AD0F46" w:rsidRPr="00485619">
        <w:rPr>
          <w:rFonts w:ascii="Verdana" w:eastAsia="Times New Roman" w:hAnsi="Verdana" w:cs="Times New Roman"/>
          <w:sz w:val="24"/>
          <w:szCs w:val="24"/>
          <w:lang w:val="es-ES" w:eastAsia="es-ES"/>
        </w:rPr>
        <w:t xml:space="preserve">instituciones </w:t>
      </w:r>
      <w:r w:rsidRPr="00485619">
        <w:rPr>
          <w:rFonts w:ascii="Verdana" w:eastAsia="Times New Roman" w:hAnsi="Verdana" w:cs="Times New Roman"/>
          <w:sz w:val="24"/>
          <w:szCs w:val="24"/>
          <w:lang w:val="es-ES" w:eastAsia="es-ES"/>
        </w:rPr>
        <w:t>no cuenta</w:t>
      </w:r>
      <w:r w:rsidR="00AD0F46" w:rsidRPr="00485619">
        <w:rPr>
          <w:rFonts w:ascii="Verdana" w:eastAsia="Times New Roman" w:hAnsi="Verdana" w:cs="Times New Roman"/>
          <w:sz w:val="24"/>
          <w:szCs w:val="24"/>
          <w:lang w:val="es-ES" w:eastAsia="es-ES"/>
        </w:rPr>
        <w:t>n</w:t>
      </w:r>
      <w:r w:rsidRPr="00485619">
        <w:rPr>
          <w:rFonts w:ascii="Verdana" w:eastAsia="Times New Roman" w:hAnsi="Verdana" w:cs="Times New Roman"/>
          <w:sz w:val="24"/>
          <w:szCs w:val="24"/>
          <w:lang w:val="es-ES" w:eastAsia="es-ES"/>
        </w:rPr>
        <w:t xml:space="preserve"> con un sistema electrónico para la administración de documentos (gestor documental), </w:t>
      </w:r>
      <w:r w:rsidR="00CC6BC8" w:rsidRPr="00485619">
        <w:rPr>
          <w:rFonts w:ascii="Verdana" w:eastAsia="Times New Roman" w:hAnsi="Verdana" w:cs="Times New Roman"/>
          <w:sz w:val="24"/>
          <w:szCs w:val="24"/>
          <w:lang w:val="es-ES" w:eastAsia="es-ES"/>
        </w:rPr>
        <w:t xml:space="preserve">lo cual es contradictorio debido a que </w:t>
      </w:r>
      <w:r w:rsidR="006344BC" w:rsidRPr="00485619">
        <w:rPr>
          <w:rFonts w:ascii="Verdana" w:eastAsia="Times New Roman" w:hAnsi="Verdana" w:cs="Times New Roman"/>
          <w:sz w:val="24"/>
          <w:szCs w:val="24"/>
          <w:lang w:val="es-ES" w:eastAsia="es-ES"/>
        </w:rPr>
        <w:t>114</w:t>
      </w:r>
      <w:r w:rsidR="00CC6BC8" w:rsidRPr="00485619">
        <w:rPr>
          <w:rFonts w:ascii="Verdana" w:eastAsia="Times New Roman" w:hAnsi="Verdana" w:cs="Times New Roman"/>
          <w:sz w:val="24"/>
          <w:szCs w:val="24"/>
          <w:lang w:val="es-ES" w:eastAsia="es-ES"/>
        </w:rPr>
        <w:t xml:space="preserve"> instituciones aseguraron producir documentos en soporte electrónico. </w:t>
      </w:r>
    </w:p>
    <w:p w14:paraId="7987D5D0" w14:textId="77777777" w:rsidR="00CC6BC8" w:rsidRPr="00485619" w:rsidRDefault="00CC6BC8" w:rsidP="00485619">
      <w:pPr>
        <w:spacing w:after="0" w:line="240" w:lineRule="auto"/>
        <w:jc w:val="both"/>
        <w:rPr>
          <w:rFonts w:ascii="Verdana" w:eastAsia="Times New Roman" w:hAnsi="Verdana" w:cs="Times New Roman"/>
          <w:sz w:val="24"/>
          <w:szCs w:val="24"/>
          <w:highlight w:val="yellow"/>
          <w:lang w:val="es-ES" w:eastAsia="es-ES"/>
        </w:rPr>
      </w:pPr>
    </w:p>
    <w:p w14:paraId="6B228E69" w14:textId="77777777" w:rsidR="00803FF4" w:rsidRPr="00485619" w:rsidRDefault="00CC6BC8"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Además</w:t>
      </w:r>
      <w:r w:rsidR="002E7A95" w:rsidRPr="00485619">
        <w:rPr>
          <w:rFonts w:ascii="Verdana" w:eastAsia="Times New Roman" w:hAnsi="Verdana" w:cs="Times New Roman"/>
          <w:sz w:val="24"/>
          <w:szCs w:val="24"/>
          <w:lang w:val="es-ES" w:eastAsia="es-ES"/>
        </w:rPr>
        <w:t>,</w:t>
      </w:r>
      <w:r w:rsidR="00803FF4" w:rsidRPr="00485619">
        <w:rPr>
          <w:rFonts w:ascii="Verdana" w:eastAsia="Times New Roman" w:hAnsi="Verdana" w:cs="Times New Roman"/>
          <w:sz w:val="24"/>
          <w:szCs w:val="24"/>
          <w:lang w:val="es-ES" w:eastAsia="es-ES"/>
        </w:rPr>
        <w:t xml:space="preserve"> cuando se preguntó si el Archivo Central mantiene un programa de migraciones frecuentes de información contenida en soportes electrónicos y digitales</w:t>
      </w:r>
      <w:r w:rsidR="00A75766" w:rsidRPr="00485619">
        <w:rPr>
          <w:rFonts w:ascii="Verdana" w:eastAsia="Times New Roman" w:hAnsi="Verdana" w:cs="Times New Roman"/>
          <w:sz w:val="24"/>
          <w:szCs w:val="24"/>
          <w:lang w:val="es-ES" w:eastAsia="es-ES"/>
        </w:rPr>
        <w:t xml:space="preserve">, </w:t>
      </w:r>
      <w:r w:rsidR="00901D62" w:rsidRPr="00485619">
        <w:rPr>
          <w:rFonts w:ascii="Verdana" w:eastAsia="Times New Roman" w:hAnsi="Verdana" w:cs="Times New Roman"/>
          <w:sz w:val="24"/>
          <w:szCs w:val="24"/>
          <w:lang w:val="es-ES" w:eastAsia="es-ES"/>
        </w:rPr>
        <w:t>solamente 60 (50,4%)</w:t>
      </w:r>
      <w:r w:rsidR="00803FF4" w:rsidRPr="00485619">
        <w:rPr>
          <w:rFonts w:ascii="Verdana" w:eastAsia="Times New Roman" w:hAnsi="Verdana" w:cs="Times New Roman"/>
          <w:sz w:val="24"/>
          <w:szCs w:val="24"/>
          <w:lang w:val="es-ES" w:eastAsia="es-ES"/>
        </w:rPr>
        <w:t xml:space="preserve"> entidades respondieron </w:t>
      </w:r>
      <w:r w:rsidR="002108EF" w:rsidRPr="00485619">
        <w:rPr>
          <w:rFonts w:ascii="Verdana" w:eastAsia="Times New Roman" w:hAnsi="Verdana" w:cs="Times New Roman"/>
          <w:sz w:val="24"/>
          <w:szCs w:val="24"/>
          <w:lang w:val="es-ES" w:eastAsia="es-ES"/>
        </w:rPr>
        <w:t>positiva</w:t>
      </w:r>
      <w:r w:rsidR="00803FF4" w:rsidRPr="00485619">
        <w:rPr>
          <w:rFonts w:ascii="Verdana" w:eastAsia="Times New Roman" w:hAnsi="Verdana" w:cs="Times New Roman"/>
          <w:sz w:val="24"/>
          <w:szCs w:val="24"/>
          <w:lang w:val="es-ES" w:eastAsia="es-ES"/>
        </w:rPr>
        <w:t>mente</w:t>
      </w:r>
      <w:r w:rsidR="00901D62" w:rsidRPr="00485619">
        <w:rPr>
          <w:rFonts w:ascii="Verdana" w:eastAsia="Times New Roman" w:hAnsi="Verdana" w:cs="Times New Roman"/>
          <w:sz w:val="24"/>
          <w:szCs w:val="24"/>
          <w:lang w:val="es-ES" w:eastAsia="es-ES"/>
        </w:rPr>
        <w:t xml:space="preserve"> y 24 (20,2)</w:t>
      </w:r>
      <w:r w:rsidR="004B0FC1" w:rsidRPr="00485619">
        <w:rPr>
          <w:rFonts w:ascii="Verdana" w:eastAsia="Times New Roman" w:hAnsi="Verdana" w:cs="Times New Roman"/>
          <w:sz w:val="24"/>
          <w:szCs w:val="24"/>
          <w:lang w:val="es-ES" w:eastAsia="es-ES"/>
        </w:rPr>
        <w:t xml:space="preserve"> lo realizan parcialmente</w:t>
      </w:r>
      <w:r w:rsidRPr="00485619">
        <w:rPr>
          <w:rFonts w:ascii="Verdana" w:eastAsia="Times New Roman" w:hAnsi="Verdana" w:cs="Times New Roman"/>
          <w:sz w:val="24"/>
          <w:szCs w:val="24"/>
          <w:lang w:val="es-ES" w:eastAsia="es-ES"/>
        </w:rPr>
        <w:t>.</w:t>
      </w:r>
      <w:r w:rsidR="00D87918" w:rsidRPr="00485619">
        <w:rPr>
          <w:rFonts w:ascii="Verdana" w:eastAsia="Times New Roman" w:hAnsi="Verdana" w:cs="Times New Roman"/>
          <w:sz w:val="24"/>
          <w:szCs w:val="24"/>
          <w:lang w:val="es-ES" w:eastAsia="es-ES"/>
        </w:rPr>
        <w:t xml:space="preserve"> Lo anterior, deriva </w:t>
      </w:r>
      <w:r w:rsidR="00803FF4" w:rsidRPr="00485619">
        <w:rPr>
          <w:rFonts w:ascii="Verdana" w:eastAsia="Times New Roman" w:hAnsi="Verdana" w:cs="Times New Roman"/>
          <w:sz w:val="24"/>
          <w:szCs w:val="24"/>
          <w:lang w:val="es-ES" w:eastAsia="es-ES"/>
        </w:rPr>
        <w:t xml:space="preserve">que la mayoría de </w:t>
      </w:r>
      <w:r w:rsidR="00D87918" w:rsidRPr="00485619">
        <w:rPr>
          <w:rFonts w:ascii="Verdana" w:eastAsia="Times New Roman" w:hAnsi="Verdana" w:cs="Times New Roman"/>
          <w:sz w:val="24"/>
          <w:szCs w:val="24"/>
          <w:lang w:val="es-ES" w:eastAsia="es-ES"/>
        </w:rPr>
        <w:t xml:space="preserve">los Archivos Centrales no tienen ningún </w:t>
      </w:r>
      <w:r w:rsidR="00803FF4" w:rsidRPr="00485619">
        <w:rPr>
          <w:rFonts w:ascii="Verdana" w:eastAsia="Times New Roman" w:hAnsi="Verdana" w:cs="Times New Roman"/>
          <w:sz w:val="24"/>
          <w:szCs w:val="24"/>
          <w:lang w:val="es-ES" w:eastAsia="es-ES"/>
        </w:rPr>
        <w:t xml:space="preserve">control </w:t>
      </w:r>
      <w:r w:rsidR="00D87918" w:rsidRPr="00485619">
        <w:rPr>
          <w:rFonts w:ascii="Verdana" w:eastAsia="Times New Roman" w:hAnsi="Verdana" w:cs="Times New Roman"/>
          <w:sz w:val="24"/>
          <w:szCs w:val="24"/>
          <w:lang w:val="es-ES" w:eastAsia="es-ES"/>
        </w:rPr>
        <w:t xml:space="preserve">sobre la </w:t>
      </w:r>
      <w:r w:rsidR="002B5EB1" w:rsidRPr="00485619">
        <w:rPr>
          <w:rFonts w:ascii="Verdana" w:eastAsia="Times New Roman" w:hAnsi="Verdana" w:cs="Times New Roman"/>
          <w:sz w:val="24"/>
          <w:szCs w:val="24"/>
          <w:lang w:val="es-ES" w:eastAsia="es-ES"/>
        </w:rPr>
        <w:t>génesis</w:t>
      </w:r>
      <w:r w:rsidR="00D87918" w:rsidRPr="00485619">
        <w:rPr>
          <w:rFonts w:ascii="Verdana" w:eastAsia="Times New Roman" w:hAnsi="Verdana" w:cs="Times New Roman"/>
          <w:sz w:val="24"/>
          <w:szCs w:val="24"/>
          <w:lang w:val="es-ES" w:eastAsia="es-ES"/>
        </w:rPr>
        <w:t xml:space="preserve">, gestión y tratamiento archivístico de los documentos en soporte electrónico. </w:t>
      </w:r>
    </w:p>
    <w:p w14:paraId="27BE4A1B" w14:textId="77777777" w:rsidR="006E2948" w:rsidRPr="00485619" w:rsidRDefault="006E2948" w:rsidP="00485619">
      <w:pPr>
        <w:spacing w:after="0" w:line="240" w:lineRule="auto"/>
        <w:jc w:val="both"/>
        <w:rPr>
          <w:rFonts w:ascii="Verdana" w:eastAsia="Times New Roman" w:hAnsi="Verdana" w:cs="Times New Roman"/>
          <w:sz w:val="24"/>
          <w:szCs w:val="24"/>
          <w:lang w:val="es-ES" w:eastAsia="es-ES"/>
        </w:rPr>
      </w:pPr>
    </w:p>
    <w:p w14:paraId="1EDC92B2" w14:textId="21718E59" w:rsidR="004D2E51" w:rsidRPr="00485619" w:rsidRDefault="00901D62" w:rsidP="00ED16F5">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Cabe resaltar que 32</w:t>
      </w:r>
      <w:r w:rsidR="006E2948" w:rsidRPr="00485619">
        <w:rPr>
          <w:rFonts w:ascii="Verdana" w:eastAsia="Times New Roman" w:hAnsi="Verdana" w:cs="Times New Roman"/>
          <w:sz w:val="24"/>
          <w:szCs w:val="24"/>
          <w:lang w:val="es-ES" w:eastAsia="es-ES"/>
        </w:rPr>
        <w:t xml:space="preserve"> instituciones </w:t>
      </w:r>
      <w:r w:rsidR="0077065B" w:rsidRPr="00485619">
        <w:rPr>
          <w:rFonts w:ascii="Verdana" w:eastAsia="Times New Roman" w:hAnsi="Verdana" w:cs="Times New Roman"/>
          <w:sz w:val="24"/>
          <w:szCs w:val="24"/>
          <w:lang w:val="es-ES" w:eastAsia="es-ES"/>
        </w:rPr>
        <w:t xml:space="preserve">garantizaron tener </w:t>
      </w:r>
      <w:r w:rsidR="006E2948" w:rsidRPr="00485619">
        <w:rPr>
          <w:rFonts w:ascii="Verdana" w:eastAsia="Times New Roman" w:hAnsi="Verdana" w:cs="Times New Roman"/>
          <w:sz w:val="24"/>
          <w:szCs w:val="24"/>
          <w:lang w:val="es-ES" w:eastAsia="es-ES"/>
        </w:rPr>
        <w:t>un ge</w:t>
      </w:r>
      <w:r w:rsidRPr="00485619">
        <w:rPr>
          <w:rFonts w:ascii="Verdana" w:eastAsia="Times New Roman" w:hAnsi="Verdana" w:cs="Times New Roman"/>
          <w:sz w:val="24"/>
          <w:szCs w:val="24"/>
          <w:lang w:val="es-ES" w:eastAsia="es-ES"/>
        </w:rPr>
        <w:t>stor documental de las cuales 22</w:t>
      </w:r>
      <w:r w:rsidR="007C598A" w:rsidRPr="00485619">
        <w:rPr>
          <w:rFonts w:ascii="Verdana" w:eastAsia="Times New Roman" w:hAnsi="Verdana" w:cs="Times New Roman"/>
          <w:sz w:val="24"/>
          <w:szCs w:val="24"/>
          <w:lang w:val="es-ES" w:eastAsia="es-ES"/>
        </w:rPr>
        <w:t xml:space="preserve"> </w:t>
      </w:r>
      <w:r w:rsidR="006E2948" w:rsidRPr="00485619">
        <w:rPr>
          <w:rFonts w:ascii="Verdana" w:eastAsia="Times New Roman" w:hAnsi="Verdana" w:cs="Times New Roman"/>
          <w:sz w:val="24"/>
          <w:szCs w:val="24"/>
          <w:lang w:val="es-ES" w:eastAsia="es-ES"/>
        </w:rPr>
        <w:t>afirmaron que el Encargado del Archivo Central particip</w:t>
      </w:r>
      <w:r w:rsidR="00303C1E" w:rsidRPr="00485619">
        <w:rPr>
          <w:rFonts w:ascii="Verdana" w:eastAsia="Times New Roman" w:hAnsi="Verdana" w:cs="Times New Roman"/>
          <w:sz w:val="24"/>
          <w:szCs w:val="24"/>
          <w:lang w:val="es-ES" w:eastAsia="es-ES"/>
        </w:rPr>
        <w:t xml:space="preserve">ó en </w:t>
      </w:r>
      <w:r w:rsidR="006E2948" w:rsidRPr="00485619">
        <w:rPr>
          <w:rFonts w:ascii="Verdana" w:eastAsia="Times New Roman" w:hAnsi="Verdana" w:cs="Times New Roman"/>
          <w:sz w:val="24"/>
          <w:szCs w:val="24"/>
          <w:lang w:val="es-ES" w:eastAsia="es-ES"/>
        </w:rPr>
        <w:t>el diseño e implementación de dicho sistema.</w:t>
      </w:r>
      <w:r w:rsidRPr="00485619">
        <w:rPr>
          <w:rFonts w:ascii="Verdana" w:eastAsia="Times New Roman" w:hAnsi="Verdana" w:cs="Times New Roman"/>
          <w:sz w:val="24"/>
          <w:szCs w:val="24"/>
          <w:lang w:val="es-ES" w:eastAsia="es-ES"/>
        </w:rPr>
        <w:t xml:space="preserve"> Un total de 45 (37,8%) instituciones</w:t>
      </w:r>
      <w:r w:rsidR="00BE7D83" w:rsidRPr="00485619">
        <w:rPr>
          <w:rFonts w:ascii="Verdana" w:eastAsia="Times New Roman" w:hAnsi="Verdana" w:cs="Times New Roman"/>
          <w:sz w:val="24"/>
          <w:szCs w:val="24"/>
          <w:lang w:val="es-ES" w:eastAsia="es-ES"/>
        </w:rPr>
        <w:t xml:space="preserve"> señalaron contar con un equipo disciplinario que se encuentra trabajando en el diseño e implementación del gestor documental</w:t>
      </w:r>
      <w:r w:rsidR="00177C1A" w:rsidRPr="00485619">
        <w:rPr>
          <w:rFonts w:ascii="Verdana" w:eastAsia="Times New Roman" w:hAnsi="Verdana" w:cs="Times New Roman"/>
          <w:sz w:val="24"/>
          <w:szCs w:val="24"/>
          <w:lang w:val="es-ES" w:eastAsia="es-ES"/>
        </w:rPr>
        <w:t>,</w:t>
      </w:r>
      <w:r w:rsidR="00BE7D83" w:rsidRPr="00485619">
        <w:rPr>
          <w:rFonts w:ascii="Verdana" w:eastAsia="Times New Roman" w:hAnsi="Verdana" w:cs="Times New Roman"/>
          <w:sz w:val="24"/>
          <w:szCs w:val="24"/>
          <w:lang w:val="es-ES" w:eastAsia="es-ES"/>
        </w:rPr>
        <w:t xml:space="preserve"> </w:t>
      </w:r>
      <w:r w:rsidR="00177C1A" w:rsidRPr="00485619">
        <w:rPr>
          <w:rFonts w:ascii="Verdana" w:eastAsia="Times New Roman" w:hAnsi="Verdana" w:cs="Times New Roman"/>
          <w:sz w:val="24"/>
          <w:szCs w:val="24"/>
          <w:lang w:val="es-ES" w:eastAsia="es-ES"/>
        </w:rPr>
        <w:t>p</w:t>
      </w:r>
      <w:r w:rsidR="00BE7D83" w:rsidRPr="00485619">
        <w:rPr>
          <w:rFonts w:ascii="Verdana" w:eastAsia="Times New Roman" w:hAnsi="Verdana" w:cs="Times New Roman"/>
          <w:sz w:val="24"/>
          <w:szCs w:val="24"/>
          <w:lang w:val="es-ES" w:eastAsia="es-ES"/>
        </w:rPr>
        <w:t xml:space="preserve">or lo que, </w:t>
      </w:r>
      <w:r w:rsidR="00C84897" w:rsidRPr="00485619">
        <w:rPr>
          <w:rFonts w:ascii="Verdana" w:eastAsia="Times New Roman" w:hAnsi="Verdana" w:cs="Times New Roman"/>
          <w:sz w:val="24"/>
          <w:szCs w:val="24"/>
          <w:lang w:val="es-ES" w:eastAsia="es-ES"/>
        </w:rPr>
        <w:t>el resto de las entidades no pretende controlar, ni normalizar la producción de documentos en soporte electrónico.</w:t>
      </w:r>
      <w:r w:rsidR="00177C1A" w:rsidRPr="00485619">
        <w:rPr>
          <w:rFonts w:ascii="Verdana" w:eastAsia="Times New Roman" w:hAnsi="Verdana" w:cs="Times New Roman"/>
          <w:sz w:val="24"/>
          <w:szCs w:val="24"/>
          <w:lang w:val="es-ES" w:eastAsia="es-ES"/>
        </w:rPr>
        <w:t xml:space="preserve"> </w:t>
      </w:r>
      <w:r w:rsidR="00BE7D83" w:rsidRPr="00485619">
        <w:rPr>
          <w:rFonts w:ascii="Verdana" w:eastAsia="Times New Roman" w:hAnsi="Verdana" w:cs="Times New Roman"/>
          <w:sz w:val="24"/>
          <w:szCs w:val="24"/>
          <w:lang w:val="es-ES" w:eastAsia="es-ES"/>
        </w:rPr>
        <w:t xml:space="preserve"> </w:t>
      </w:r>
      <w:r w:rsidR="004D2E51" w:rsidRPr="00485619">
        <w:rPr>
          <w:rFonts w:ascii="Verdana" w:eastAsia="Times New Roman" w:hAnsi="Verdana" w:cs="Times New Roman"/>
          <w:sz w:val="24"/>
          <w:szCs w:val="24"/>
          <w:lang w:val="es-ES" w:eastAsia="es-ES"/>
        </w:rPr>
        <w:br w:type="page"/>
      </w:r>
    </w:p>
    <w:p w14:paraId="1FA71DF9" w14:textId="77777777" w:rsidR="006A6EA9" w:rsidRPr="00485619" w:rsidRDefault="006A6EA9" w:rsidP="00485619">
      <w:pPr>
        <w:pStyle w:val="Ttulo1"/>
        <w:jc w:val="both"/>
        <w:rPr>
          <w:rFonts w:ascii="Verdana" w:hAnsi="Verdana"/>
          <w:sz w:val="24"/>
          <w:szCs w:val="24"/>
        </w:rPr>
      </w:pPr>
      <w:bookmarkStart w:id="16" w:name="_Toc444697513"/>
      <w:r w:rsidRPr="00485619">
        <w:rPr>
          <w:rFonts w:ascii="Verdana" w:hAnsi="Verdana"/>
          <w:sz w:val="24"/>
          <w:szCs w:val="24"/>
        </w:rPr>
        <w:t>VII. Conclusiones</w:t>
      </w:r>
      <w:bookmarkEnd w:id="16"/>
      <w:r w:rsidRPr="00485619">
        <w:rPr>
          <w:rFonts w:ascii="Verdana" w:hAnsi="Verdana"/>
          <w:sz w:val="24"/>
          <w:szCs w:val="24"/>
        </w:rPr>
        <w:t xml:space="preserve"> </w:t>
      </w:r>
    </w:p>
    <w:p w14:paraId="6935A50F"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4A0A14DA"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Después de realizado el análisis anterior, es importante destacar los siguientes resultados: </w:t>
      </w:r>
    </w:p>
    <w:p w14:paraId="7FCED851"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3D4D958F" w14:textId="19456105" w:rsidR="006A6EA9" w:rsidRPr="00485619" w:rsidRDefault="002F0408"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 166</w:t>
      </w:r>
      <w:r w:rsidR="006A6EA9" w:rsidRPr="00485619">
        <w:rPr>
          <w:rFonts w:ascii="Verdana" w:eastAsia="Times New Roman" w:hAnsi="Verdana" w:cs="Times New Roman"/>
          <w:sz w:val="24"/>
          <w:szCs w:val="24"/>
          <w:lang w:val="es-ES" w:eastAsia="es-ES"/>
        </w:rPr>
        <w:t xml:space="preserve"> instituciones que en los últimos 6 años han presentado el informe de desa</w:t>
      </w:r>
      <w:r w:rsidR="00123D37" w:rsidRPr="00485619">
        <w:rPr>
          <w:rFonts w:ascii="Verdana" w:eastAsia="Times New Roman" w:hAnsi="Verdana" w:cs="Times New Roman"/>
          <w:sz w:val="24"/>
          <w:szCs w:val="24"/>
          <w:lang w:val="es-ES" w:eastAsia="es-ES"/>
        </w:rPr>
        <w:t xml:space="preserve">rrollo archivístico, solamente </w:t>
      </w:r>
      <w:r w:rsidR="004D2E51" w:rsidRPr="00485619">
        <w:rPr>
          <w:rFonts w:ascii="Verdana" w:eastAsia="Times New Roman" w:hAnsi="Verdana" w:cs="Times New Roman"/>
          <w:sz w:val="24"/>
          <w:szCs w:val="24"/>
          <w:lang w:val="es-ES" w:eastAsia="es-ES"/>
        </w:rPr>
        <w:t>53</w:t>
      </w:r>
      <w:r w:rsidR="006A6EA9" w:rsidRPr="00485619">
        <w:rPr>
          <w:rFonts w:ascii="Verdana" w:eastAsia="Times New Roman" w:hAnsi="Verdana" w:cs="Times New Roman"/>
          <w:sz w:val="24"/>
          <w:szCs w:val="24"/>
          <w:lang w:val="es-ES" w:eastAsia="es-ES"/>
        </w:rPr>
        <w:t xml:space="preserve"> lo han hecho de forma continua y las </w:t>
      </w:r>
      <w:r w:rsidR="00123D37" w:rsidRPr="00485619">
        <w:rPr>
          <w:rFonts w:ascii="Verdana" w:eastAsia="Times New Roman" w:hAnsi="Verdana" w:cs="Times New Roman"/>
          <w:sz w:val="24"/>
          <w:szCs w:val="24"/>
          <w:lang w:val="es-ES" w:eastAsia="es-ES"/>
        </w:rPr>
        <w:t>1</w:t>
      </w:r>
      <w:r w:rsidR="004D2E51" w:rsidRPr="00485619">
        <w:rPr>
          <w:rFonts w:ascii="Verdana" w:eastAsia="Times New Roman" w:hAnsi="Verdana" w:cs="Times New Roman"/>
          <w:sz w:val="24"/>
          <w:szCs w:val="24"/>
          <w:lang w:val="es-ES" w:eastAsia="es-ES"/>
        </w:rPr>
        <w:t>11</w:t>
      </w:r>
      <w:r w:rsidR="006A6EA9" w:rsidRPr="00485619">
        <w:rPr>
          <w:rFonts w:ascii="Verdana" w:eastAsia="Times New Roman" w:hAnsi="Verdana" w:cs="Times New Roman"/>
          <w:sz w:val="24"/>
          <w:szCs w:val="24"/>
          <w:lang w:val="es-ES" w:eastAsia="es-ES"/>
        </w:rPr>
        <w:t xml:space="preserve"> instituciones restantes lo han presentado entre 1 y 5 veces</w:t>
      </w:r>
      <w:r w:rsidR="004D2E51" w:rsidRPr="00485619">
        <w:rPr>
          <w:rFonts w:ascii="Verdana" w:eastAsia="Times New Roman" w:hAnsi="Verdana" w:cs="Times New Roman"/>
          <w:sz w:val="24"/>
          <w:szCs w:val="24"/>
          <w:lang w:val="es-ES" w:eastAsia="es-ES"/>
        </w:rPr>
        <w:t xml:space="preserve"> (Ver anexo N° 2)</w:t>
      </w:r>
      <w:r w:rsidR="006A6EA9" w:rsidRPr="00485619">
        <w:rPr>
          <w:rFonts w:ascii="Verdana" w:eastAsia="Times New Roman" w:hAnsi="Verdana" w:cs="Times New Roman"/>
          <w:sz w:val="24"/>
          <w:szCs w:val="24"/>
          <w:lang w:val="es-ES" w:eastAsia="es-ES"/>
        </w:rPr>
        <w:t>.</w:t>
      </w:r>
    </w:p>
    <w:p w14:paraId="646F6BC9"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2186D9E2" w14:textId="1B875653" w:rsidR="006A6EA9" w:rsidRPr="00485619" w:rsidRDefault="004D2E51"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Solamente 1</w:t>
      </w:r>
      <w:r w:rsidR="00CB4D41" w:rsidRPr="00485619">
        <w:rPr>
          <w:rFonts w:ascii="Verdana" w:eastAsia="Times New Roman" w:hAnsi="Verdana" w:cs="Times New Roman"/>
          <w:sz w:val="24"/>
          <w:szCs w:val="24"/>
          <w:lang w:val="es-ES" w:eastAsia="es-ES"/>
        </w:rPr>
        <w:t>1</w:t>
      </w:r>
      <w:r w:rsidRPr="00485619">
        <w:rPr>
          <w:rFonts w:ascii="Verdana" w:eastAsia="Times New Roman" w:hAnsi="Verdana" w:cs="Times New Roman"/>
          <w:sz w:val="24"/>
          <w:szCs w:val="24"/>
          <w:lang w:val="es-ES" w:eastAsia="es-ES"/>
        </w:rPr>
        <w:t>9</w:t>
      </w:r>
      <w:r w:rsidR="006A6EA9" w:rsidRPr="00485619">
        <w:rPr>
          <w:rFonts w:ascii="Verdana" w:eastAsia="Times New Roman" w:hAnsi="Verdana" w:cs="Times New Roman"/>
          <w:sz w:val="24"/>
          <w:szCs w:val="24"/>
          <w:lang w:val="es-ES" w:eastAsia="es-ES"/>
        </w:rPr>
        <w:t xml:space="preserve"> instituciones presentaron el informe de desar</w:t>
      </w:r>
      <w:r w:rsidRPr="00485619">
        <w:rPr>
          <w:rFonts w:ascii="Verdana" w:eastAsia="Times New Roman" w:hAnsi="Verdana" w:cs="Times New Roman"/>
          <w:sz w:val="24"/>
          <w:szCs w:val="24"/>
          <w:lang w:val="es-ES" w:eastAsia="es-ES"/>
        </w:rPr>
        <w:t>rollo archivístico (período 2014</w:t>
      </w:r>
      <w:r w:rsidR="006A6EA9" w:rsidRPr="00485619">
        <w:rPr>
          <w:rFonts w:ascii="Verdana" w:eastAsia="Times New Roman" w:hAnsi="Verdana" w:cs="Times New Roman"/>
          <w:sz w:val="24"/>
          <w:szCs w:val="24"/>
          <w:lang w:val="es-ES" w:eastAsia="es-ES"/>
        </w:rPr>
        <w:t>-201</w:t>
      </w:r>
      <w:r w:rsidRPr="00485619">
        <w:rPr>
          <w:rFonts w:ascii="Verdana" w:eastAsia="Times New Roman" w:hAnsi="Verdana" w:cs="Times New Roman"/>
          <w:sz w:val="24"/>
          <w:szCs w:val="24"/>
          <w:lang w:val="es-ES" w:eastAsia="es-ES"/>
        </w:rPr>
        <w:t>5), lo cual representa el 36,</w:t>
      </w:r>
      <w:r w:rsidR="00CA7439" w:rsidRPr="00485619">
        <w:rPr>
          <w:rFonts w:ascii="Verdana" w:eastAsia="Times New Roman" w:hAnsi="Verdana" w:cs="Times New Roman"/>
          <w:sz w:val="24"/>
          <w:szCs w:val="24"/>
          <w:lang w:val="es-ES" w:eastAsia="es-ES"/>
        </w:rPr>
        <w:t>2</w:t>
      </w:r>
      <w:r w:rsidR="006A6EA9" w:rsidRPr="00485619">
        <w:rPr>
          <w:rFonts w:ascii="Verdana" w:eastAsia="Times New Roman" w:hAnsi="Verdana" w:cs="Times New Roman"/>
          <w:sz w:val="24"/>
          <w:szCs w:val="24"/>
          <w:lang w:val="es-ES" w:eastAsia="es-ES"/>
        </w:rPr>
        <w:t>% de las entidades del Sistema Nacional de Archivos está cumpliendo con el artículo 42, inciso j de la Ley Nº 7202 del Sistema Nacional de Archivos, esto demuestra que el cumplimiento de la Ley en este aspecto es deficitari</w:t>
      </w:r>
      <w:r w:rsidR="00CB4D41" w:rsidRPr="00485619">
        <w:rPr>
          <w:rFonts w:ascii="Verdana" w:eastAsia="Times New Roman" w:hAnsi="Verdana" w:cs="Times New Roman"/>
          <w:sz w:val="24"/>
          <w:szCs w:val="24"/>
          <w:lang w:val="es-ES" w:eastAsia="es-ES"/>
        </w:rPr>
        <w:t xml:space="preserve">o. </w:t>
      </w:r>
    </w:p>
    <w:p w14:paraId="4D61811A"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30A29FA8" w14:textId="0751FBA5" w:rsidR="006A6EA9" w:rsidRPr="00485619" w:rsidRDefault="006A6EA9"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Más del 90% de los encargados de archivos centrales informan que tienen apoyo institucional, sin embargo, </w:t>
      </w:r>
      <w:r w:rsidR="00E96D75" w:rsidRPr="00485619">
        <w:rPr>
          <w:rFonts w:ascii="Verdana" w:eastAsia="Times New Roman" w:hAnsi="Verdana" w:cs="Times New Roman"/>
          <w:sz w:val="24"/>
          <w:szCs w:val="24"/>
          <w:lang w:val="es-ES" w:eastAsia="es-ES"/>
        </w:rPr>
        <w:t xml:space="preserve">el </w:t>
      </w:r>
      <w:r w:rsidR="00CA7439" w:rsidRPr="00485619">
        <w:rPr>
          <w:rFonts w:ascii="Verdana" w:eastAsia="Times New Roman" w:hAnsi="Verdana" w:cs="Times New Roman"/>
          <w:sz w:val="24"/>
          <w:szCs w:val="24"/>
          <w:lang w:val="es-ES" w:eastAsia="es-ES"/>
        </w:rPr>
        <w:t>38,7</w:t>
      </w:r>
      <w:r w:rsidR="00E96D75" w:rsidRPr="00485619">
        <w:rPr>
          <w:rFonts w:ascii="Verdana" w:eastAsia="Times New Roman" w:hAnsi="Verdana" w:cs="Times New Roman"/>
          <w:sz w:val="24"/>
          <w:szCs w:val="24"/>
          <w:lang w:val="es-ES" w:eastAsia="es-ES"/>
        </w:rPr>
        <w:t>%</w:t>
      </w:r>
      <w:r w:rsidRPr="00485619">
        <w:rPr>
          <w:rFonts w:ascii="Verdana" w:eastAsia="Times New Roman" w:hAnsi="Verdana" w:cs="Times New Roman"/>
          <w:sz w:val="24"/>
          <w:szCs w:val="24"/>
          <w:lang w:val="es-ES" w:eastAsia="es-ES"/>
        </w:rPr>
        <w:t xml:space="preserve"> de estas unidades no se ven reflejadas en el organigrama institucional, por lo que se denota que los trámites que las entidades deben llevar a cabo para formalizar la Unidad de Archivo Central no se están ejecutando.</w:t>
      </w:r>
    </w:p>
    <w:p w14:paraId="69D3C85F" w14:textId="77777777" w:rsidR="006A6EA9" w:rsidRPr="00485619" w:rsidRDefault="006A6EA9" w:rsidP="00485619">
      <w:pPr>
        <w:spacing w:after="0" w:line="240" w:lineRule="auto"/>
        <w:jc w:val="both"/>
        <w:rPr>
          <w:rFonts w:ascii="Verdana" w:eastAsia="Times New Roman" w:hAnsi="Verdana" w:cs="Times New Roman"/>
          <w:sz w:val="24"/>
          <w:szCs w:val="24"/>
          <w:highlight w:val="yellow"/>
          <w:lang w:val="es-ES" w:eastAsia="es-ES"/>
        </w:rPr>
      </w:pPr>
    </w:p>
    <w:p w14:paraId="7CBAC444" w14:textId="78E8E0D2" w:rsidR="006A6EA9" w:rsidRPr="00485619" w:rsidRDefault="006A6EA9"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Del 100% de los Arch</w:t>
      </w:r>
      <w:r w:rsidR="00CA7439" w:rsidRPr="00485619">
        <w:rPr>
          <w:rFonts w:ascii="Verdana" w:eastAsia="Times New Roman" w:hAnsi="Verdana" w:cs="Times New Roman"/>
          <w:sz w:val="24"/>
          <w:szCs w:val="24"/>
          <w:lang w:val="es-ES" w:eastAsia="es-ES"/>
        </w:rPr>
        <w:t>ivos Centrales analizados, un 62,1</w:t>
      </w:r>
      <w:r w:rsidRPr="00485619">
        <w:rPr>
          <w:rFonts w:ascii="Verdana" w:eastAsia="Times New Roman" w:hAnsi="Verdana" w:cs="Times New Roman"/>
          <w:sz w:val="24"/>
          <w:szCs w:val="24"/>
          <w:lang w:val="es-ES" w:eastAsia="es-ES"/>
        </w:rPr>
        <w:t xml:space="preserve">% están siendo dirigidos por un </w:t>
      </w:r>
      <w:r w:rsidR="00CA7439" w:rsidRPr="00485619">
        <w:rPr>
          <w:rFonts w:ascii="Verdana" w:eastAsia="Times New Roman" w:hAnsi="Verdana" w:cs="Times New Roman"/>
          <w:sz w:val="24"/>
          <w:szCs w:val="24"/>
          <w:lang w:val="es-ES" w:eastAsia="es-ES"/>
        </w:rPr>
        <w:t xml:space="preserve">funcionario que cuenta con formación </w:t>
      </w:r>
      <w:r w:rsidRPr="00485619">
        <w:rPr>
          <w:rFonts w:ascii="Verdana" w:eastAsia="Times New Roman" w:hAnsi="Verdana" w:cs="Times New Roman"/>
          <w:sz w:val="24"/>
          <w:szCs w:val="24"/>
          <w:lang w:val="es-ES" w:eastAsia="es-ES"/>
        </w:rPr>
        <w:t xml:space="preserve">en archivística, por lo tanto, </w:t>
      </w:r>
      <w:r w:rsidR="00CA7439" w:rsidRPr="00485619">
        <w:rPr>
          <w:rFonts w:ascii="Verdana" w:eastAsia="Times New Roman" w:hAnsi="Verdana" w:cs="Times New Roman"/>
          <w:sz w:val="24"/>
          <w:szCs w:val="24"/>
          <w:lang w:val="es-ES" w:eastAsia="es-ES"/>
        </w:rPr>
        <w:t>más del 37,9</w:t>
      </w:r>
      <w:r w:rsidR="004326E5" w:rsidRPr="00485619">
        <w:rPr>
          <w:rFonts w:ascii="Verdana" w:eastAsia="Times New Roman" w:hAnsi="Verdana" w:cs="Times New Roman"/>
          <w:sz w:val="24"/>
          <w:szCs w:val="24"/>
          <w:lang w:val="es-ES" w:eastAsia="es-ES"/>
        </w:rPr>
        <w:t xml:space="preserve">% de las </w:t>
      </w:r>
      <w:r w:rsidRPr="00485619">
        <w:rPr>
          <w:rFonts w:ascii="Verdana" w:eastAsia="Times New Roman" w:hAnsi="Verdana" w:cs="Times New Roman"/>
          <w:sz w:val="24"/>
          <w:szCs w:val="24"/>
          <w:lang w:val="es-ES" w:eastAsia="es-ES"/>
        </w:rPr>
        <w:t>entidades incumplen con lo dispuesto en el artículo 43 de la Ley del Sistema Nacional de Archivos.</w:t>
      </w:r>
    </w:p>
    <w:p w14:paraId="24086A27"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749AC5CF" w14:textId="465178E9" w:rsidR="00C26051" w:rsidRDefault="006A6EA9"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Con respecto a la aplicación y control de la normativa archivística institucional y las directrices de acatamiento obligatorio emitidas por la Junta Administrativa del Archivo Nacional, llama la atención que los Encargados de Archivos Centrales priorizan el control sobre la aplicación de la normativa interna</w:t>
      </w:r>
      <w:r w:rsidR="00C26051">
        <w:rPr>
          <w:rFonts w:ascii="Verdana" w:eastAsia="Times New Roman" w:hAnsi="Verdana" w:cs="Times New Roman"/>
          <w:sz w:val="24"/>
          <w:szCs w:val="24"/>
          <w:lang w:val="es-ES" w:eastAsia="es-ES"/>
        </w:rPr>
        <w:t xml:space="preserve">.  Es importante rescatar que en el caso del </w:t>
      </w:r>
      <w:r w:rsidRPr="00485619">
        <w:rPr>
          <w:rFonts w:ascii="Verdana" w:eastAsia="Times New Roman" w:hAnsi="Verdana" w:cs="Times New Roman"/>
          <w:sz w:val="24"/>
          <w:szCs w:val="24"/>
          <w:lang w:val="es-ES" w:eastAsia="es-ES"/>
        </w:rPr>
        <w:t>cumplimiento de las regulaciones producidas por el Ente Rector del Sistema Nacional de Archivos</w:t>
      </w:r>
      <w:r w:rsidR="00C26051">
        <w:rPr>
          <w:rFonts w:ascii="Verdana" w:eastAsia="Times New Roman" w:hAnsi="Verdana" w:cs="Times New Roman"/>
          <w:sz w:val="24"/>
          <w:szCs w:val="24"/>
          <w:lang w:val="es-ES" w:eastAsia="es-ES"/>
        </w:rPr>
        <w:t>, solamente 39 instituciones controlan su aplicación total en la institución</w:t>
      </w:r>
      <w:r w:rsidRPr="00485619">
        <w:rPr>
          <w:rFonts w:ascii="Verdana" w:eastAsia="Times New Roman" w:hAnsi="Verdana" w:cs="Times New Roman"/>
          <w:sz w:val="24"/>
          <w:szCs w:val="24"/>
          <w:lang w:val="es-ES" w:eastAsia="es-ES"/>
        </w:rPr>
        <w:t>.</w:t>
      </w:r>
    </w:p>
    <w:p w14:paraId="4DDC4A07" w14:textId="77777777" w:rsidR="00C26051" w:rsidRDefault="00C26051" w:rsidP="00C26051">
      <w:pPr>
        <w:pStyle w:val="Prrafodelista"/>
        <w:rPr>
          <w:rFonts w:ascii="Verdana" w:hAnsi="Verdana"/>
        </w:rPr>
      </w:pPr>
    </w:p>
    <w:p w14:paraId="7988CC36" w14:textId="271A51FF" w:rsidR="00B4701F" w:rsidRPr="00485619" w:rsidRDefault="00B4701F"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Más del 95% de las instituciones afirmaron producir documentos en soporte electrón</w:t>
      </w:r>
      <w:r w:rsidR="00CA7439" w:rsidRPr="00485619">
        <w:rPr>
          <w:rFonts w:ascii="Verdana" w:eastAsia="Times New Roman" w:hAnsi="Verdana" w:cs="Times New Roman"/>
          <w:sz w:val="24"/>
          <w:szCs w:val="24"/>
          <w:lang w:val="es-ES" w:eastAsia="es-ES"/>
        </w:rPr>
        <w:t>ico, no obstante, solamente el 6</w:t>
      </w:r>
      <w:r w:rsidRPr="00485619">
        <w:rPr>
          <w:rFonts w:ascii="Verdana" w:eastAsia="Times New Roman" w:hAnsi="Verdana" w:cs="Times New Roman"/>
          <w:sz w:val="24"/>
          <w:szCs w:val="24"/>
          <w:lang w:val="es-ES" w:eastAsia="es-ES"/>
        </w:rPr>
        <w:t>7</w:t>
      </w:r>
      <w:r w:rsidR="00CA7439" w:rsidRPr="00485619">
        <w:rPr>
          <w:rFonts w:ascii="Verdana" w:eastAsia="Times New Roman" w:hAnsi="Verdana" w:cs="Times New Roman"/>
          <w:sz w:val="24"/>
          <w:szCs w:val="24"/>
          <w:lang w:val="es-ES" w:eastAsia="es-ES"/>
        </w:rPr>
        <w:t>,8</w:t>
      </w:r>
      <w:r w:rsidRPr="00485619">
        <w:rPr>
          <w:rFonts w:ascii="Verdana" w:eastAsia="Times New Roman" w:hAnsi="Verdana" w:cs="Times New Roman"/>
          <w:sz w:val="24"/>
          <w:szCs w:val="24"/>
          <w:lang w:val="es-ES" w:eastAsia="es-ES"/>
        </w:rPr>
        <w:t xml:space="preserve">% </w:t>
      </w:r>
      <w:r w:rsidR="004D3454" w:rsidRPr="00485619">
        <w:rPr>
          <w:rFonts w:ascii="Verdana" w:eastAsia="Times New Roman" w:hAnsi="Verdana" w:cs="Times New Roman"/>
          <w:sz w:val="24"/>
          <w:szCs w:val="24"/>
          <w:lang w:val="es-ES" w:eastAsia="es-ES"/>
        </w:rPr>
        <w:t>señalaron utilizar</w:t>
      </w:r>
      <w:r w:rsidRPr="00485619">
        <w:rPr>
          <w:rFonts w:ascii="Verdana" w:eastAsia="Times New Roman" w:hAnsi="Verdana" w:cs="Times New Roman"/>
          <w:sz w:val="24"/>
          <w:szCs w:val="24"/>
          <w:lang w:val="es-ES" w:eastAsia="es-ES"/>
        </w:rPr>
        <w:t xml:space="preserve"> la firma digital validada.</w:t>
      </w:r>
    </w:p>
    <w:p w14:paraId="100F3C24" w14:textId="77777777" w:rsidR="00253151" w:rsidRPr="00485619" w:rsidRDefault="00253151" w:rsidP="00485619">
      <w:pPr>
        <w:pStyle w:val="Prrafodelista"/>
        <w:jc w:val="both"/>
        <w:rPr>
          <w:rFonts w:ascii="Verdana" w:hAnsi="Verdana"/>
        </w:rPr>
      </w:pPr>
    </w:p>
    <w:p w14:paraId="3382E2C2" w14:textId="324B2C25" w:rsidR="008E5B40" w:rsidRPr="00485619" w:rsidRDefault="00F52B05"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El 81,6</w:t>
      </w:r>
      <w:r w:rsidR="008E5B40" w:rsidRPr="00485619">
        <w:rPr>
          <w:rFonts w:ascii="Verdana" w:eastAsia="Times New Roman" w:hAnsi="Verdana" w:cs="Times New Roman"/>
          <w:sz w:val="24"/>
          <w:szCs w:val="24"/>
          <w:lang w:val="es-ES" w:eastAsia="es-ES"/>
        </w:rPr>
        <w:t>% de las instituciones cuentan con un cuadro de clasificación en forma total o parcial</w:t>
      </w:r>
      <w:r w:rsidRPr="00485619">
        <w:rPr>
          <w:rFonts w:ascii="Verdana" w:eastAsia="Times New Roman" w:hAnsi="Verdana" w:cs="Times New Roman"/>
          <w:sz w:val="24"/>
          <w:szCs w:val="24"/>
          <w:lang w:val="es-ES" w:eastAsia="es-ES"/>
        </w:rPr>
        <w:t>.</w:t>
      </w:r>
    </w:p>
    <w:p w14:paraId="78D64066" w14:textId="77777777" w:rsidR="00F52B05" w:rsidRPr="00485619" w:rsidRDefault="00F52B05" w:rsidP="00485619">
      <w:pPr>
        <w:pStyle w:val="Prrafodelista"/>
        <w:jc w:val="both"/>
        <w:rPr>
          <w:rFonts w:ascii="Verdana" w:hAnsi="Verdana"/>
        </w:rPr>
      </w:pPr>
    </w:p>
    <w:p w14:paraId="08E94A5B" w14:textId="73DC8408" w:rsidR="00F52B05" w:rsidRPr="00485619" w:rsidRDefault="00F52B05" w:rsidP="00485619">
      <w:pPr>
        <w:numPr>
          <w:ilvl w:val="0"/>
          <w:numId w:val="7"/>
        </w:numPr>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El 56 % de las instituciones utilizan el sistema de clasificación ORFUAS.</w:t>
      </w:r>
    </w:p>
    <w:p w14:paraId="0B4182CB" w14:textId="77777777" w:rsidR="001A0BCF" w:rsidRPr="00485619" w:rsidRDefault="001A0BCF" w:rsidP="00485619">
      <w:pPr>
        <w:pStyle w:val="Prrafodelista"/>
        <w:jc w:val="both"/>
        <w:rPr>
          <w:rFonts w:ascii="Verdana" w:hAnsi="Verdana"/>
        </w:rPr>
      </w:pPr>
    </w:p>
    <w:p w14:paraId="1A54C6DF" w14:textId="77777777" w:rsidR="001A0BCF" w:rsidRPr="00485619" w:rsidRDefault="001A0BCF" w:rsidP="00485619">
      <w:pPr>
        <w:pStyle w:val="Prrafodelista"/>
        <w:numPr>
          <w:ilvl w:val="0"/>
          <w:numId w:val="7"/>
        </w:numPr>
        <w:jc w:val="both"/>
        <w:rPr>
          <w:rFonts w:ascii="Verdana" w:hAnsi="Verdana"/>
        </w:rPr>
      </w:pPr>
      <w:r w:rsidRPr="00485619">
        <w:rPr>
          <w:rFonts w:ascii="Verdana" w:hAnsi="Verdana"/>
        </w:rPr>
        <w:t xml:space="preserve">El 99% de las instituciones entrevistadas afirmaron usar algún tipo de instrumento descriptivo, pero en la mayoría no se encuentran normalizados. </w:t>
      </w:r>
    </w:p>
    <w:p w14:paraId="4FE10B48" w14:textId="77777777" w:rsidR="001A0BCF" w:rsidRPr="00485619" w:rsidRDefault="001A0BCF" w:rsidP="00485619">
      <w:pPr>
        <w:pStyle w:val="Prrafodelista"/>
        <w:jc w:val="both"/>
        <w:rPr>
          <w:rFonts w:ascii="Verdana" w:hAnsi="Verdana"/>
        </w:rPr>
      </w:pPr>
    </w:p>
    <w:p w14:paraId="61D1D7C5" w14:textId="03F74AF9" w:rsidR="00446E03" w:rsidRPr="00485619" w:rsidRDefault="001A0BCF" w:rsidP="00485619">
      <w:pPr>
        <w:pStyle w:val="Prrafodelista"/>
        <w:numPr>
          <w:ilvl w:val="0"/>
          <w:numId w:val="7"/>
        </w:numPr>
        <w:jc w:val="both"/>
        <w:rPr>
          <w:rFonts w:ascii="Verdana" w:hAnsi="Verdana"/>
        </w:rPr>
      </w:pPr>
      <w:r w:rsidRPr="00485619">
        <w:rPr>
          <w:rFonts w:ascii="Verdana" w:hAnsi="Verdana"/>
        </w:rPr>
        <w:t>E</w:t>
      </w:r>
      <w:r w:rsidR="006A6EA9" w:rsidRPr="00485619">
        <w:rPr>
          <w:rFonts w:ascii="Verdana" w:hAnsi="Verdana"/>
        </w:rPr>
        <w:t>n cuanto a la descrip</w:t>
      </w:r>
      <w:r w:rsidR="00B97667" w:rsidRPr="00485619">
        <w:rPr>
          <w:rFonts w:ascii="Verdana" w:hAnsi="Verdana"/>
        </w:rPr>
        <w:t xml:space="preserve">ción documental, solamente el </w:t>
      </w:r>
      <w:r w:rsidR="00F52B05" w:rsidRPr="00485619">
        <w:rPr>
          <w:rFonts w:ascii="Verdana" w:hAnsi="Verdana"/>
        </w:rPr>
        <w:t>44,5</w:t>
      </w:r>
      <w:r w:rsidR="006A6EA9" w:rsidRPr="00485619">
        <w:rPr>
          <w:rFonts w:ascii="Verdana" w:hAnsi="Verdana"/>
        </w:rPr>
        <w:t xml:space="preserve">% de las </w:t>
      </w:r>
      <w:r w:rsidR="00F52B05" w:rsidRPr="00485619">
        <w:rPr>
          <w:rFonts w:ascii="Verdana" w:hAnsi="Verdana"/>
        </w:rPr>
        <w:t>instituciones</w:t>
      </w:r>
      <w:r w:rsidR="006A6EA9" w:rsidRPr="00485619">
        <w:rPr>
          <w:rFonts w:ascii="Verdana" w:hAnsi="Verdana"/>
        </w:rPr>
        <w:t xml:space="preserve"> utilizan alguna de las normas de descripción archivística aprobadas por el Consejo Internacional de Archivos (CIA). </w:t>
      </w:r>
    </w:p>
    <w:p w14:paraId="4A4F8EB6" w14:textId="77777777" w:rsidR="00446E03" w:rsidRPr="00485619" w:rsidRDefault="00446E03" w:rsidP="00485619">
      <w:pPr>
        <w:pStyle w:val="Prrafodelista"/>
        <w:jc w:val="both"/>
        <w:rPr>
          <w:rFonts w:ascii="Verdana" w:hAnsi="Verdana"/>
          <w:highlight w:val="yellow"/>
        </w:rPr>
      </w:pPr>
    </w:p>
    <w:p w14:paraId="6922B667" w14:textId="4F057580" w:rsidR="009A0C89" w:rsidRPr="00485619" w:rsidRDefault="00446E03"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Es</w:t>
      </w:r>
      <w:r w:rsidR="009A0C89" w:rsidRPr="00485619">
        <w:rPr>
          <w:rFonts w:ascii="Verdana" w:eastAsia="Times New Roman" w:hAnsi="Verdana" w:cs="Times New Roman"/>
          <w:sz w:val="24"/>
          <w:szCs w:val="24"/>
          <w:lang w:val="es-ES" w:eastAsia="es-ES"/>
        </w:rPr>
        <w:t xml:space="preserve"> evidente que la </w:t>
      </w:r>
      <w:r w:rsidR="006A6EA9" w:rsidRPr="00485619">
        <w:rPr>
          <w:rFonts w:ascii="Verdana" w:eastAsia="Times New Roman" w:hAnsi="Verdana" w:cs="Times New Roman"/>
          <w:sz w:val="24"/>
          <w:szCs w:val="24"/>
          <w:lang w:val="es-ES" w:eastAsia="es-ES"/>
        </w:rPr>
        <w:t>norma ISAD-G “Norma Internacional de Descripción Archivística” es poco aplicada en los Archivos Centrales que conforman el Sistema Nacional de Archivos</w:t>
      </w:r>
      <w:r w:rsidR="00EA3908" w:rsidRPr="00485619">
        <w:rPr>
          <w:rFonts w:ascii="Verdana" w:eastAsia="Times New Roman" w:hAnsi="Verdana" w:cs="Times New Roman"/>
          <w:sz w:val="24"/>
          <w:szCs w:val="24"/>
          <w:lang w:val="es-ES" w:eastAsia="es-ES"/>
        </w:rPr>
        <w:t>, ya que únicamente el 36</w:t>
      </w:r>
      <w:r w:rsidR="009A0C89" w:rsidRPr="00485619">
        <w:rPr>
          <w:rFonts w:ascii="Verdana" w:eastAsia="Times New Roman" w:hAnsi="Verdana" w:cs="Times New Roman"/>
          <w:sz w:val="24"/>
          <w:szCs w:val="24"/>
          <w:lang w:val="es-ES" w:eastAsia="es-ES"/>
        </w:rPr>
        <w:t>% de las instituciones estudiadas la implementan.</w:t>
      </w:r>
    </w:p>
    <w:p w14:paraId="73BC88E6" w14:textId="77777777" w:rsidR="009A0C89" w:rsidRPr="00485619" w:rsidRDefault="009A0C89" w:rsidP="00485619">
      <w:pPr>
        <w:spacing w:after="0" w:line="240" w:lineRule="auto"/>
        <w:ind w:left="720"/>
        <w:jc w:val="both"/>
        <w:rPr>
          <w:rFonts w:ascii="Verdana" w:eastAsia="Times New Roman" w:hAnsi="Verdana" w:cs="Times New Roman"/>
          <w:sz w:val="24"/>
          <w:szCs w:val="24"/>
          <w:lang w:val="es-ES" w:eastAsia="es-ES"/>
        </w:rPr>
      </w:pPr>
    </w:p>
    <w:p w14:paraId="22DCC695" w14:textId="619DCE07" w:rsidR="006A6EA9" w:rsidRPr="00485619" w:rsidRDefault="00A26798"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En cuanto a la </w:t>
      </w:r>
      <w:r w:rsidR="006A6EA9" w:rsidRPr="00485619">
        <w:rPr>
          <w:rFonts w:ascii="Verdana" w:eastAsia="Times New Roman" w:hAnsi="Verdana" w:cs="Times New Roman"/>
          <w:sz w:val="24"/>
          <w:szCs w:val="24"/>
          <w:lang w:val="es-ES" w:eastAsia="es-ES"/>
        </w:rPr>
        <w:t xml:space="preserve">Norma ISAAR (CPF) “Norma internacional sobre los registros de autoridad de archivos relativos a instituciones, personas y familias”, </w:t>
      </w:r>
      <w:r w:rsidR="009C68DC" w:rsidRPr="00485619">
        <w:rPr>
          <w:rFonts w:ascii="Verdana" w:eastAsia="Times New Roman" w:hAnsi="Verdana" w:cs="Times New Roman"/>
          <w:sz w:val="24"/>
          <w:szCs w:val="24"/>
          <w:lang w:val="es-ES" w:eastAsia="es-ES"/>
        </w:rPr>
        <w:t>solamente e</w:t>
      </w:r>
      <w:r w:rsidR="00ED7725" w:rsidRPr="00485619">
        <w:rPr>
          <w:rFonts w:ascii="Verdana" w:eastAsia="Times New Roman" w:hAnsi="Verdana" w:cs="Times New Roman"/>
          <w:sz w:val="24"/>
          <w:szCs w:val="24"/>
          <w:lang w:val="es-ES" w:eastAsia="es-ES"/>
        </w:rPr>
        <w:t xml:space="preserve">l </w:t>
      </w:r>
      <w:r w:rsidR="00EA3908" w:rsidRPr="00485619">
        <w:rPr>
          <w:rFonts w:ascii="Verdana" w:eastAsia="Times New Roman" w:hAnsi="Verdana" w:cs="Times New Roman"/>
          <w:sz w:val="24"/>
          <w:szCs w:val="24"/>
          <w:lang w:val="es-ES" w:eastAsia="es-ES"/>
        </w:rPr>
        <w:t>2,5</w:t>
      </w:r>
      <w:r w:rsidR="006A6EA9" w:rsidRPr="00485619">
        <w:rPr>
          <w:rFonts w:ascii="Verdana" w:eastAsia="Times New Roman" w:hAnsi="Verdana" w:cs="Times New Roman"/>
          <w:sz w:val="24"/>
          <w:szCs w:val="24"/>
          <w:lang w:val="es-ES" w:eastAsia="es-ES"/>
        </w:rPr>
        <w:t xml:space="preserve"> % de las entidades evaluadas</w:t>
      </w:r>
      <w:r w:rsidR="009C68DC" w:rsidRPr="00485619">
        <w:rPr>
          <w:rFonts w:ascii="Verdana" w:eastAsia="Times New Roman" w:hAnsi="Verdana" w:cs="Times New Roman"/>
          <w:sz w:val="24"/>
          <w:szCs w:val="24"/>
          <w:lang w:val="es-ES" w:eastAsia="es-ES"/>
        </w:rPr>
        <w:t xml:space="preserve"> la emplean. </w:t>
      </w:r>
    </w:p>
    <w:p w14:paraId="5B453F5D" w14:textId="77777777" w:rsidR="00EA3908" w:rsidRPr="00485619" w:rsidRDefault="00EA3908" w:rsidP="00485619">
      <w:pPr>
        <w:pStyle w:val="Prrafodelista"/>
        <w:jc w:val="both"/>
        <w:rPr>
          <w:rFonts w:ascii="Verdana" w:hAnsi="Verdana"/>
        </w:rPr>
      </w:pPr>
    </w:p>
    <w:p w14:paraId="7DF5D6FA" w14:textId="0A5A2AE7" w:rsidR="00EA3908" w:rsidRPr="00485619" w:rsidRDefault="001A0BCF"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En relación con l</w:t>
      </w:r>
      <w:r w:rsidR="00EA3908" w:rsidRPr="00485619">
        <w:rPr>
          <w:rFonts w:ascii="Verdana" w:eastAsia="Times New Roman" w:hAnsi="Verdana" w:cs="Times New Roman"/>
          <w:sz w:val="24"/>
          <w:szCs w:val="24"/>
          <w:lang w:val="es-ES" w:eastAsia="es-ES"/>
        </w:rPr>
        <w:t>a Norma ISDIAH</w:t>
      </w:r>
      <w:r w:rsidRPr="00485619">
        <w:rPr>
          <w:rFonts w:ascii="Verdana" w:eastAsia="Times New Roman" w:hAnsi="Verdana" w:cs="Times New Roman"/>
          <w:sz w:val="24"/>
          <w:szCs w:val="24"/>
          <w:lang w:val="es-ES" w:eastAsia="es-ES"/>
        </w:rPr>
        <w:t xml:space="preserve"> “Norma internacional para describir instituciones que custodian fondos de archivo”</w:t>
      </w:r>
      <w:r w:rsidR="00EA3908" w:rsidRPr="00485619">
        <w:rPr>
          <w:rFonts w:ascii="Verdana" w:eastAsia="Times New Roman" w:hAnsi="Verdana" w:cs="Times New Roman"/>
          <w:sz w:val="24"/>
          <w:szCs w:val="24"/>
          <w:lang w:val="es-ES" w:eastAsia="es-ES"/>
        </w:rPr>
        <w:t xml:space="preserve"> solo 0.84% de total de las instituciones la implementan, </w:t>
      </w:r>
      <w:r w:rsidRPr="00485619">
        <w:rPr>
          <w:rFonts w:ascii="Verdana" w:eastAsia="Times New Roman" w:hAnsi="Verdana" w:cs="Times New Roman"/>
          <w:sz w:val="24"/>
          <w:szCs w:val="24"/>
          <w:lang w:val="es-ES" w:eastAsia="es-ES"/>
        </w:rPr>
        <w:t xml:space="preserve">y en cuanto Noma ISDF “Norma internacional para la descripción de funciones” no se aplica en nuestro país. </w:t>
      </w:r>
    </w:p>
    <w:p w14:paraId="0ABB12AE" w14:textId="77777777" w:rsidR="00E92A0C" w:rsidRPr="00485619" w:rsidRDefault="00E92A0C" w:rsidP="00485619">
      <w:pPr>
        <w:spacing w:after="0" w:line="240" w:lineRule="auto"/>
        <w:ind w:left="720"/>
        <w:jc w:val="both"/>
        <w:rPr>
          <w:rFonts w:ascii="Verdana" w:eastAsia="Times New Roman" w:hAnsi="Verdana" w:cs="Times New Roman"/>
          <w:sz w:val="24"/>
          <w:szCs w:val="24"/>
          <w:lang w:val="es-ES" w:eastAsia="es-ES"/>
        </w:rPr>
      </w:pPr>
    </w:p>
    <w:p w14:paraId="45C85ACD" w14:textId="231D207C" w:rsidR="00E92A0C" w:rsidRPr="00485619" w:rsidRDefault="00E92A0C"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El </w:t>
      </w:r>
      <w:r w:rsidR="001A0BCF" w:rsidRPr="00485619">
        <w:rPr>
          <w:rFonts w:ascii="Verdana" w:eastAsia="Times New Roman" w:hAnsi="Verdana" w:cs="Times New Roman"/>
          <w:sz w:val="24"/>
          <w:szCs w:val="24"/>
          <w:lang w:val="es-ES" w:eastAsia="es-ES"/>
        </w:rPr>
        <w:t>5.8</w:t>
      </w:r>
      <w:r w:rsidRPr="00485619">
        <w:rPr>
          <w:rFonts w:ascii="Verdana" w:eastAsia="Times New Roman" w:hAnsi="Verdana" w:cs="Times New Roman"/>
          <w:sz w:val="24"/>
          <w:szCs w:val="24"/>
          <w:lang w:val="es-ES" w:eastAsia="es-ES"/>
        </w:rPr>
        <w:t>% de las instituciones determinaron utilizar otra norma de descripción, sin embargo,</w:t>
      </w:r>
      <w:r w:rsidR="00FC5874" w:rsidRPr="00485619">
        <w:rPr>
          <w:rFonts w:ascii="Verdana" w:eastAsia="Times New Roman" w:hAnsi="Verdana" w:cs="Times New Roman"/>
          <w:sz w:val="24"/>
          <w:szCs w:val="24"/>
          <w:lang w:val="es-ES" w:eastAsia="es-ES"/>
        </w:rPr>
        <w:t xml:space="preserve"> en</w:t>
      </w:r>
      <w:r w:rsidRPr="00485619">
        <w:rPr>
          <w:rFonts w:ascii="Verdana" w:eastAsia="Times New Roman" w:hAnsi="Verdana" w:cs="Times New Roman"/>
          <w:sz w:val="24"/>
          <w:szCs w:val="24"/>
          <w:lang w:val="es-ES" w:eastAsia="es-ES"/>
        </w:rPr>
        <w:t xml:space="preserve"> las respuestas aportadas mencionaron instrumentos de control y descripción, lo cual denota falta de conocimiento para diferenciar entre una norma de descripción e instrumentos. </w:t>
      </w:r>
    </w:p>
    <w:p w14:paraId="489D3050" w14:textId="77777777" w:rsidR="006A6EA9" w:rsidRPr="00485619" w:rsidRDefault="006A6EA9" w:rsidP="00485619">
      <w:pPr>
        <w:spacing w:after="0" w:line="240" w:lineRule="auto"/>
        <w:ind w:left="720"/>
        <w:jc w:val="both"/>
        <w:rPr>
          <w:rFonts w:ascii="Verdana" w:eastAsia="Times New Roman" w:hAnsi="Verdana" w:cs="Times New Roman"/>
          <w:sz w:val="24"/>
          <w:szCs w:val="24"/>
          <w:lang w:val="es-ES" w:eastAsia="es-ES"/>
        </w:rPr>
      </w:pPr>
    </w:p>
    <w:p w14:paraId="51533E49" w14:textId="42B1A0E6" w:rsidR="00EC76AB" w:rsidRPr="00485619" w:rsidRDefault="00171C02"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El 91,6</w:t>
      </w:r>
      <w:r w:rsidR="009B1C13" w:rsidRPr="00485619">
        <w:rPr>
          <w:rFonts w:ascii="Verdana" w:eastAsia="Times New Roman" w:hAnsi="Verdana" w:cs="Times New Roman"/>
          <w:sz w:val="24"/>
          <w:szCs w:val="24"/>
          <w:lang w:val="es-ES" w:eastAsia="es-ES"/>
        </w:rPr>
        <w:t xml:space="preserve">% </w:t>
      </w:r>
      <w:r w:rsidR="00B56423" w:rsidRPr="00485619">
        <w:rPr>
          <w:rFonts w:ascii="Verdana" w:eastAsia="Times New Roman" w:hAnsi="Verdana" w:cs="Times New Roman"/>
          <w:sz w:val="24"/>
          <w:szCs w:val="24"/>
          <w:lang w:val="es-ES" w:eastAsia="es-ES"/>
        </w:rPr>
        <w:t xml:space="preserve">de </w:t>
      </w:r>
      <w:r w:rsidR="009B1C13" w:rsidRPr="00485619">
        <w:rPr>
          <w:rFonts w:ascii="Verdana" w:eastAsia="Times New Roman" w:hAnsi="Verdana" w:cs="Times New Roman"/>
          <w:sz w:val="24"/>
          <w:szCs w:val="24"/>
          <w:lang w:val="es-ES" w:eastAsia="es-ES"/>
        </w:rPr>
        <w:t xml:space="preserve">entidades señalaron contar con un CISED, no obstante, tan solo el </w:t>
      </w:r>
      <w:r w:rsidRPr="00485619">
        <w:rPr>
          <w:rFonts w:ascii="Verdana" w:eastAsia="Times New Roman" w:hAnsi="Verdana" w:cs="Times New Roman"/>
          <w:sz w:val="24"/>
          <w:szCs w:val="24"/>
          <w:lang w:val="es-ES" w:eastAsia="es-ES"/>
        </w:rPr>
        <w:t>70,6</w:t>
      </w:r>
      <w:r w:rsidR="009B1C13"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indicaron contar con tablas de plazos de conservación de documentos o valoraciones parciales conocidas por la CNSED.</w:t>
      </w:r>
    </w:p>
    <w:p w14:paraId="454F0ECB"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04F76E5C" w14:textId="1B5FB3D5" w:rsidR="006A6EA9" w:rsidRPr="00485619" w:rsidRDefault="006A6EA9"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 acuerdo con los datos obtenidos, se o</w:t>
      </w:r>
      <w:r w:rsidR="001B25F4" w:rsidRPr="00485619">
        <w:rPr>
          <w:rFonts w:ascii="Verdana" w:eastAsia="Times New Roman" w:hAnsi="Verdana" w:cs="Times New Roman"/>
          <w:sz w:val="24"/>
          <w:szCs w:val="24"/>
          <w:lang w:val="es-ES" w:eastAsia="es-ES"/>
        </w:rPr>
        <w:t>bserva que el 87, 4% de las 1</w:t>
      </w:r>
      <w:r w:rsidR="003E6F13" w:rsidRPr="00485619">
        <w:rPr>
          <w:rFonts w:ascii="Verdana" w:eastAsia="Times New Roman" w:hAnsi="Verdana" w:cs="Times New Roman"/>
          <w:sz w:val="24"/>
          <w:szCs w:val="24"/>
          <w:lang w:val="es-ES" w:eastAsia="es-ES"/>
        </w:rPr>
        <w:t>1</w:t>
      </w:r>
      <w:r w:rsidR="001B25F4" w:rsidRPr="00485619">
        <w:rPr>
          <w:rFonts w:ascii="Verdana" w:eastAsia="Times New Roman" w:hAnsi="Verdana" w:cs="Times New Roman"/>
          <w:sz w:val="24"/>
          <w:szCs w:val="24"/>
          <w:lang w:val="es-ES" w:eastAsia="es-ES"/>
        </w:rPr>
        <w:t>9</w:t>
      </w:r>
      <w:r w:rsidRPr="00485619">
        <w:rPr>
          <w:rFonts w:ascii="Verdana" w:eastAsia="Times New Roman" w:hAnsi="Verdana" w:cs="Times New Roman"/>
          <w:sz w:val="24"/>
          <w:szCs w:val="24"/>
          <w:lang w:val="es-ES" w:eastAsia="es-ES"/>
        </w:rPr>
        <w:t xml:space="preserve"> </w:t>
      </w:r>
      <w:r w:rsidR="001B25F4" w:rsidRPr="00485619">
        <w:rPr>
          <w:rFonts w:ascii="Verdana" w:eastAsia="Times New Roman" w:hAnsi="Verdana" w:cs="Times New Roman"/>
          <w:sz w:val="24"/>
          <w:szCs w:val="24"/>
          <w:lang w:val="es-ES" w:eastAsia="es-ES"/>
        </w:rPr>
        <w:t>instituciones</w:t>
      </w:r>
      <w:r w:rsidRPr="00485619">
        <w:rPr>
          <w:rFonts w:ascii="Verdana" w:eastAsia="Times New Roman" w:hAnsi="Verdana" w:cs="Times New Roman"/>
          <w:sz w:val="24"/>
          <w:szCs w:val="24"/>
          <w:lang w:val="es-ES" w:eastAsia="es-ES"/>
        </w:rPr>
        <w:t xml:space="preserve"> evaluadas en este informe, indicaron haber realizado eliminaciones de documentos. No obstante, la cantidad de instituciones que informaron contar con tablas de plazos de conservación de documentos o valoraciones parciales </w:t>
      </w:r>
      <w:r w:rsidR="001B25F4" w:rsidRPr="00485619">
        <w:rPr>
          <w:rFonts w:ascii="Verdana" w:eastAsia="Times New Roman" w:hAnsi="Verdana" w:cs="Times New Roman"/>
          <w:sz w:val="24"/>
          <w:szCs w:val="24"/>
          <w:lang w:val="es-ES" w:eastAsia="es-ES"/>
        </w:rPr>
        <w:t>vigentes, es menor (55,5</w:t>
      </w:r>
      <w:r w:rsidRPr="00485619">
        <w:rPr>
          <w:rFonts w:ascii="Verdana" w:eastAsia="Times New Roman" w:hAnsi="Verdana" w:cs="Times New Roman"/>
          <w:sz w:val="24"/>
          <w:szCs w:val="24"/>
          <w:lang w:val="es-ES" w:eastAsia="es-ES"/>
        </w:rPr>
        <w:t>%).</w:t>
      </w:r>
    </w:p>
    <w:p w14:paraId="23516ABC" w14:textId="77777777" w:rsidR="003E6F13" w:rsidRPr="00485619" w:rsidRDefault="003E6F13" w:rsidP="00485619">
      <w:pPr>
        <w:tabs>
          <w:tab w:val="num" w:pos="840"/>
        </w:tabs>
        <w:spacing w:after="0" w:line="240" w:lineRule="auto"/>
        <w:ind w:left="720"/>
        <w:jc w:val="both"/>
        <w:rPr>
          <w:rFonts w:ascii="Verdana" w:eastAsia="Times New Roman" w:hAnsi="Verdana" w:cs="Times New Roman"/>
          <w:sz w:val="24"/>
          <w:szCs w:val="24"/>
          <w:lang w:val="es-ES" w:eastAsia="es-ES"/>
        </w:rPr>
      </w:pPr>
    </w:p>
    <w:p w14:paraId="05786154" w14:textId="2B1E4A14" w:rsidR="006A6EA9" w:rsidRPr="00485619" w:rsidRDefault="00B4265F"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Más del 90</w:t>
      </w:r>
      <w:r w:rsidR="006A6EA9" w:rsidRPr="00485619">
        <w:rPr>
          <w:rFonts w:ascii="Verdana" w:eastAsia="Times New Roman" w:hAnsi="Verdana" w:cs="Times New Roman"/>
          <w:sz w:val="24"/>
          <w:szCs w:val="24"/>
          <w:lang w:val="es-ES" w:eastAsia="es-ES"/>
        </w:rPr>
        <w:t>% de las entidades entrevistadas controlan el préstamo y la facilitación</w:t>
      </w:r>
      <w:r w:rsidR="006B4098" w:rsidRPr="00485619">
        <w:rPr>
          <w:rFonts w:ascii="Verdana" w:eastAsia="Times New Roman" w:hAnsi="Verdana" w:cs="Times New Roman"/>
          <w:sz w:val="24"/>
          <w:szCs w:val="24"/>
          <w:lang w:val="es-ES" w:eastAsia="es-ES"/>
        </w:rPr>
        <w:t xml:space="preserve">, </w:t>
      </w:r>
      <w:r w:rsidRPr="00485619">
        <w:rPr>
          <w:rFonts w:ascii="Verdana" w:eastAsia="Times New Roman" w:hAnsi="Verdana" w:cs="Times New Roman"/>
          <w:sz w:val="24"/>
          <w:szCs w:val="24"/>
          <w:lang w:val="es-ES" w:eastAsia="es-ES"/>
        </w:rPr>
        <w:t xml:space="preserve">contando con su respectivo </w:t>
      </w:r>
      <w:r w:rsidR="006B4098" w:rsidRPr="00485619">
        <w:rPr>
          <w:rFonts w:ascii="Verdana" w:eastAsia="Times New Roman" w:hAnsi="Verdana" w:cs="Times New Roman"/>
          <w:sz w:val="24"/>
          <w:szCs w:val="24"/>
          <w:lang w:val="es-ES" w:eastAsia="es-ES"/>
        </w:rPr>
        <w:t>procedimiento normalizado para esta actividad</w:t>
      </w:r>
      <w:r w:rsidR="006A6EA9" w:rsidRPr="00485619">
        <w:rPr>
          <w:rFonts w:ascii="Verdana" w:eastAsia="Times New Roman" w:hAnsi="Verdana" w:cs="Times New Roman"/>
          <w:sz w:val="24"/>
          <w:szCs w:val="24"/>
          <w:lang w:val="es-ES" w:eastAsia="es-ES"/>
        </w:rPr>
        <w:t xml:space="preserve">. </w:t>
      </w:r>
    </w:p>
    <w:p w14:paraId="763A7B60"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3C9C03FE" w14:textId="7BFEB206" w:rsidR="006A6EA9" w:rsidRPr="00485619" w:rsidRDefault="0010304A"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Más del 90</w:t>
      </w:r>
      <w:r w:rsidR="006A6EA9" w:rsidRPr="00485619">
        <w:rPr>
          <w:rFonts w:ascii="Verdana" w:eastAsia="Times New Roman" w:hAnsi="Verdana" w:cs="Times New Roman"/>
          <w:sz w:val="24"/>
          <w:szCs w:val="24"/>
          <w:lang w:val="es-ES" w:eastAsia="es-ES"/>
        </w:rPr>
        <w:t xml:space="preserve">% de los archivos centrales </w:t>
      </w:r>
      <w:r w:rsidRPr="00485619">
        <w:rPr>
          <w:rFonts w:ascii="Verdana" w:eastAsia="Times New Roman" w:hAnsi="Verdana" w:cs="Times New Roman"/>
          <w:sz w:val="24"/>
          <w:szCs w:val="24"/>
          <w:lang w:val="es-ES" w:eastAsia="es-ES"/>
        </w:rPr>
        <w:t>evaluado</w:t>
      </w:r>
      <w:r w:rsidR="007171B5" w:rsidRPr="00485619">
        <w:rPr>
          <w:rFonts w:ascii="Verdana" w:eastAsia="Times New Roman" w:hAnsi="Verdana" w:cs="Times New Roman"/>
          <w:sz w:val="24"/>
          <w:szCs w:val="24"/>
          <w:lang w:val="es-ES" w:eastAsia="es-ES"/>
        </w:rPr>
        <w:t xml:space="preserve">s </w:t>
      </w:r>
      <w:r w:rsidRPr="00485619">
        <w:rPr>
          <w:rFonts w:ascii="Verdana" w:eastAsia="Times New Roman" w:hAnsi="Verdana" w:cs="Times New Roman"/>
          <w:sz w:val="24"/>
          <w:szCs w:val="24"/>
          <w:lang w:val="es-ES" w:eastAsia="es-ES"/>
        </w:rPr>
        <w:t>poseen un</w:t>
      </w:r>
      <w:r w:rsidR="006A6EA9" w:rsidRPr="00485619">
        <w:rPr>
          <w:rFonts w:ascii="Verdana" w:eastAsia="Times New Roman" w:hAnsi="Verdana" w:cs="Times New Roman"/>
          <w:sz w:val="24"/>
          <w:szCs w:val="24"/>
          <w:lang w:val="es-ES" w:eastAsia="es-ES"/>
        </w:rPr>
        <w:t xml:space="preserve"> procedimiento normalizado </w:t>
      </w:r>
      <w:r w:rsidRPr="00485619">
        <w:rPr>
          <w:rFonts w:ascii="Verdana" w:eastAsia="Times New Roman" w:hAnsi="Verdana" w:cs="Times New Roman"/>
          <w:sz w:val="24"/>
          <w:szCs w:val="24"/>
          <w:lang w:val="es-ES" w:eastAsia="es-ES"/>
        </w:rPr>
        <w:t xml:space="preserve">para </w:t>
      </w:r>
      <w:r w:rsidR="00307AE4" w:rsidRPr="00485619">
        <w:rPr>
          <w:rFonts w:ascii="Verdana" w:eastAsia="Times New Roman" w:hAnsi="Verdana" w:cs="Times New Roman"/>
          <w:sz w:val="24"/>
          <w:szCs w:val="24"/>
          <w:lang w:val="es-ES" w:eastAsia="es-ES"/>
        </w:rPr>
        <w:t>efectuar</w:t>
      </w:r>
      <w:r w:rsidRPr="00485619">
        <w:rPr>
          <w:rFonts w:ascii="Verdana" w:eastAsia="Times New Roman" w:hAnsi="Verdana" w:cs="Times New Roman"/>
          <w:sz w:val="24"/>
          <w:szCs w:val="24"/>
          <w:lang w:val="es-ES" w:eastAsia="es-ES"/>
        </w:rPr>
        <w:t xml:space="preserve"> las transferencias de una eta</w:t>
      </w:r>
      <w:r w:rsidR="007171B5" w:rsidRPr="00485619">
        <w:rPr>
          <w:rFonts w:ascii="Verdana" w:eastAsia="Times New Roman" w:hAnsi="Verdana" w:cs="Times New Roman"/>
          <w:sz w:val="24"/>
          <w:szCs w:val="24"/>
          <w:lang w:val="es-ES" w:eastAsia="es-ES"/>
        </w:rPr>
        <w:t>pa a otra</w:t>
      </w:r>
      <w:r w:rsidRPr="00485619">
        <w:rPr>
          <w:rFonts w:ascii="Verdana" w:eastAsia="Times New Roman" w:hAnsi="Verdana" w:cs="Times New Roman"/>
          <w:sz w:val="24"/>
          <w:szCs w:val="24"/>
          <w:lang w:val="es-ES" w:eastAsia="es-ES"/>
        </w:rPr>
        <w:t xml:space="preserve">, además confirmaron hacer uso de las </w:t>
      </w:r>
      <w:r w:rsidR="006A6EA9" w:rsidRPr="00485619">
        <w:rPr>
          <w:rFonts w:ascii="Verdana" w:eastAsia="Times New Roman" w:hAnsi="Verdana" w:cs="Times New Roman"/>
          <w:sz w:val="24"/>
          <w:szCs w:val="24"/>
          <w:lang w:val="es-ES" w:eastAsia="es-ES"/>
        </w:rPr>
        <w:t xml:space="preserve">listas de remisión; </w:t>
      </w:r>
      <w:r w:rsidR="007171B5" w:rsidRPr="00485619">
        <w:rPr>
          <w:rFonts w:ascii="Verdana" w:eastAsia="Times New Roman" w:hAnsi="Verdana" w:cs="Times New Roman"/>
          <w:sz w:val="24"/>
          <w:szCs w:val="24"/>
          <w:lang w:val="es-ES" w:eastAsia="es-ES"/>
        </w:rPr>
        <w:t>a pesar de</w:t>
      </w:r>
      <w:r w:rsidR="006A6EA9" w:rsidRPr="00485619">
        <w:rPr>
          <w:rFonts w:ascii="Verdana" w:eastAsia="Times New Roman" w:hAnsi="Verdana" w:cs="Times New Roman"/>
          <w:sz w:val="24"/>
          <w:szCs w:val="24"/>
          <w:lang w:val="es-ES" w:eastAsia="es-ES"/>
        </w:rPr>
        <w:t xml:space="preserve"> </w:t>
      </w:r>
      <w:r w:rsidR="007171B5" w:rsidRPr="00485619">
        <w:rPr>
          <w:rFonts w:ascii="Verdana" w:eastAsia="Times New Roman" w:hAnsi="Verdana" w:cs="Times New Roman"/>
          <w:sz w:val="24"/>
          <w:szCs w:val="24"/>
          <w:lang w:val="es-ES" w:eastAsia="es-ES"/>
        </w:rPr>
        <w:t>lo anterior</w:t>
      </w:r>
      <w:r w:rsidR="004352B6" w:rsidRPr="00485619">
        <w:rPr>
          <w:rFonts w:ascii="Verdana" w:eastAsia="Times New Roman" w:hAnsi="Verdana" w:cs="Times New Roman"/>
          <w:sz w:val="24"/>
          <w:szCs w:val="24"/>
          <w:lang w:val="es-ES" w:eastAsia="es-ES"/>
        </w:rPr>
        <w:t>,</w:t>
      </w:r>
      <w:r w:rsidR="007171B5" w:rsidRPr="00485619">
        <w:rPr>
          <w:rFonts w:ascii="Verdana" w:eastAsia="Times New Roman" w:hAnsi="Verdana" w:cs="Times New Roman"/>
          <w:sz w:val="24"/>
          <w:szCs w:val="24"/>
          <w:lang w:val="es-ES" w:eastAsia="es-ES"/>
        </w:rPr>
        <w:t xml:space="preserve"> </w:t>
      </w:r>
      <w:r w:rsidR="004352B6" w:rsidRPr="00485619">
        <w:rPr>
          <w:rFonts w:ascii="Verdana" w:eastAsia="Times New Roman" w:hAnsi="Verdana" w:cs="Times New Roman"/>
          <w:sz w:val="24"/>
          <w:szCs w:val="24"/>
          <w:lang w:val="es-ES" w:eastAsia="es-ES"/>
        </w:rPr>
        <w:t>42</w:t>
      </w:r>
      <w:r w:rsidR="006A6EA9" w:rsidRPr="00485619">
        <w:rPr>
          <w:rFonts w:ascii="Verdana" w:eastAsia="Times New Roman" w:hAnsi="Verdana" w:cs="Times New Roman"/>
          <w:sz w:val="24"/>
          <w:szCs w:val="24"/>
          <w:lang w:val="es-ES" w:eastAsia="es-ES"/>
        </w:rPr>
        <w:t xml:space="preserve">% no calendariza estas transferencias. </w:t>
      </w:r>
    </w:p>
    <w:p w14:paraId="4851F353" w14:textId="77777777" w:rsidR="003817DC" w:rsidRPr="00485619" w:rsidRDefault="003817DC" w:rsidP="00485619">
      <w:pPr>
        <w:pStyle w:val="Prrafodelista"/>
        <w:jc w:val="both"/>
        <w:rPr>
          <w:rFonts w:ascii="Verdana" w:hAnsi="Verdana"/>
        </w:rPr>
      </w:pPr>
    </w:p>
    <w:p w14:paraId="0AF09F02" w14:textId="21EA81EC" w:rsidR="003817DC" w:rsidRPr="00485619" w:rsidRDefault="003817DC" w:rsidP="00485619">
      <w:pPr>
        <w:numPr>
          <w:ilvl w:val="0"/>
          <w:numId w:val="7"/>
        </w:numPr>
        <w:tabs>
          <w:tab w:val="num" w:pos="840"/>
        </w:tabs>
        <w:spacing w:after="0" w:line="240" w:lineRule="auto"/>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El </w:t>
      </w:r>
      <w:r w:rsidR="00AB28E0" w:rsidRPr="00485619">
        <w:rPr>
          <w:rFonts w:ascii="Verdana" w:eastAsia="Times New Roman" w:hAnsi="Verdana" w:cs="Times New Roman"/>
          <w:sz w:val="24"/>
          <w:szCs w:val="24"/>
          <w:lang w:val="es-ES" w:eastAsia="es-ES"/>
        </w:rPr>
        <w:t>22.68</w:t>
      </w:r>
      <w:r w:rsidRPr="00485619">
        <w:rPr>
          <w:rFonts w:ascii="Verdana" w:eastAsia="Times New Roman" w:hAnsi="Verdana" w:cs="Times New Roman"/>
          <w:sz w:val="24"/>
          <w:szCs w:val="24"/>
          <w:lang w:val="es-ES" w:eastAsia="es-ES"/>
        </w:rPr>
        <w:t xml:space="preserve">% de los archivos centrales evidenciaron que han recibido documentos en soporte electrónico. </w:t>
      </w:r>
    </w:p>
    <w:p w14:paraId="4C10B9C3"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38B343DC" w14:textId="4B6FE797" w:rsidR="006A6EA9" w:rsidRPr="00485619" w:rsidRDefault="00AB28E0"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El 84</w:t>
      </w:r>
      <w:r w:rsidR="00F23182" w:rsidRPr="00485619">
        <w:rPr>
          <w:rFonts w:ascii="Verdana" w:eastAsia="Times New Roman" w:hAnsi="Verdana" w:cs="Times New Roman"/>
          <w:sz w:val="24"/>
          <w:szCs w:val="24"/>
          <w:lang w:val="es-ES" w:eastAsia="es-ES"/>
        </w:rPr>
        <w:t>%</w:t>
      </w:r>
      <w:r w:rsidR="006A6EA9" w:rsidRPr="00485619">
        <w:rPr>
          <w:rFonts w:ascii="Verdana" w:eastAsia="Times New Roman" w:hAnsi="Verdana" w:cs="Times New Roman"/>
          <w:sz w:val="24"/>
          <w:szCs w:val="24"/>
          <w:lang w:val="es-ES" w:eastAsia="es-ES"/>
        </w:rPr>
        <w:t xml:space="preserve"> </w:t>
      </w:r>
      <w:r w:rsidR="00F23182" w:rsidRPr="00485619">
        <w:rPr>
          <w:rFonts w:ascii="Verdana" w:eastAsia="Times New Roman" w:hAnsi="Verdana" w:cs="Times New Roman"/>
          <w:sz w:val="24"/>
          <w:szCs w:val="24"/>
          <w:lang w:val="es-ES" w:eastAsia="es-ES"/>
        </w:rPr>
        <w:t xml:space="preserve">de los </w:t>
      </w:r>
      <w:r w:rsidR="006A6EA9" w:rsidRPr="00485619">
        <w:rPr>
          <w:rFonts w:ascii="Verdana" w:eastAsia="Times New Roman" w:hAnsi="Verdana" w:cs="Times New Roman"/>
          <w:sz w:val="24"/>
          <w:szCs w:val="24"/>
          <w:lang w:val="es-ES" w:eastAsia="es-ES"/>
        </w:rPr>
        <w:t xml:space="preserve">encargados de los archivos centrales de las instituciones analizadas, </w:t>
      </w:r>
      <w:r w:rsidR="00BE21BB" w:rsidRPr="00485619">
        <w:rPr>
          <w:rFonts w:ascii="Verdana" w:eastAsia="Times New Roman" w:hAnsi="Verdana" w:cs="Times New Roman"/>
          <w:sz w:val="24"/>
          <w:szCs w:val="24"/>
          <w:lang w:val="es-ES" w:eastAsia="es-ES"/>
        </w:rPr>
        <w:t>garantizaron</w:t>
      </w:r>
      <w:r w:rsidR="00F23182" w:rsidRPr="00485619">
        <w:rPr>
          <w:rFonts w:ascii="Verdana" w:eastAsia="Times New Roman" w:hAnsi="Verdana" w:cs="Times New Roman"/>
          <w:sz w:val="24"/>
          <w:szCs w:val="24"/>
          <w:lang w:val="es-ES" w:eastAsia="es-ES"/>
        </w:rPr>
        <w:t xml:space="preserve"> ejecutar</w:t>
      </w:r>
      <w:r w:rsidR="006A6EA9" w:rsidRPr="00485619">
        <w:rPr>
          <w:rFonts w:ascii="Verdana" w:eastAsia="Times New Roman" w:hAnsi="Verdana" w:cs="Times New Roman"/>
          <w:sz w:val="24"/>
          <w:szCs w:val="24"/>
          <w:lang w:val="es-ES" w:eastAsia="es-ES"/>
        </w:rPr>
        <w:t xml:space="preserve"> actividades de asesoramiento y capacitación para los encargados de los archivos de gestión. </w:t>
      </w:r>
    </w:p>
    <w:p w14:paraId="503F167A" w14:textId="77777777" w:rsidR="006A6EA9" w:rsidRPr="00485619" w:rsidRDefault="006A6EA9" w:rsidP="00485619">
      <w:pPr>
        <w:spacing w:after="0" w:line="240" w:lineRule="auto"/>
        <w:ind w:left="840" w:hanging="480"/>
        <w:jc w:val="both"/>
        <w:rPr>
          <w:rFonts w:ascii="Verdana" w:eastAsia="Times New Roman" w:hAnsi="Verdana" w:cs="Times New Roman"/>
          <w:sz w:val="24"/>
          <w:szCs w:val="24"/>
          <w:highlight w:val="yellow"/>
          <w:lang w:val="es-ES" w:eastAsia="es-ES"/>
        </w:rPr>
      </w:pPr>
    </w:p>
    <w:p w14:paraId="1F4E3212" w14:textId="17AC0DBF" w:rsidR="006A6EA9" w:rsidRPr="00485619" w:rsidRDefault="00417FEB"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Dos</w:t>
      </w:r>
      <w:r w:rsidR="006A6EA9" w:rsidRPr="00485619">
        <w:rPr>
          <w:rFonts w:ascii="Verdana" w:eastAsia="Times New Roman" w:hAnsi="Verdana" w:cs="Times New Roman"/>
          <w:sz w:val="24"/>
          <w:szCs w:val="24"/>
          <w:lang w:val="es-ES" w:eastAsia="es-ES"/>
        </w:rPr>
        <w:t xml:space="preserve"> instituciones reportaron no contar con un </w:t>
      </w:r>
      <w:r w:rsidR="003129DD" w:rsidRPr="00485619">
        <w:rPr>
          <w:rFonts w:ascii="Verdana" w:eastAsia="Times New Roman" w:hAnsi="Verdana" w:cs="Times New Roman"/>
          <w:sz w:val="24"/>
          <w:szCs w:val="24"/>
          <w:lang w:val="es-ES" w:eastAsia="es-ES"/>
        </w:rPr>
        <w:t xml:space="preserve">local para el archivo central, </w:t>
      </w:r>
      <w:r w:rsidR="006A6EA9" w:rsidRPr="00485619">
        <w:rPr>
          <w:rFonts w:ascii="Verdana" w:eastAsia="Times New Roman" w:hAnsi="Verdana" w:cs="Times New Roman"/>
          <w:sz w:val="24"/>
          <w:szCs w:val="24"/>
          <w:lang w:val="es-ES" w:eastAsia="es-ES"/>
        </w:rPr>
        <w:t>por lo tanto es probable que se esté incumplien</w:t>
      </w:r>
      <w:r w:rsidR="00A12DE9" w:rsidRPr="00485619">
        <w:rPr>
          <w:rFonts w:ascii="Verdana" w:eastAsia="Times New Roman" w:hAnsi="Verdana" w:cs="Times New Roman"/>
          <w:sz w:val="24"/>
          <w:szCs w:val="24"/>
          <w:lang w:val="es-ES" w:eastAsia="es-ES"/>
        </w:rPr>
        <w:t xml:space="preserve">do con las siguientes </w:t>
      </w:r>
      <w:r w:rsidR="006A6EA9" w:rsidRPr="00485619">
        <w:rPr>
          <w:rFonts w:ascii="Verdana" w:eastAsia="Times New Roman" w:hAnsi="Verdana" w:cs="Times New Roman"/>
          <w:sz w:val="24"/>
          <w:szCs w:val="24"/>
          <w:lang w:val="es-ES" w:eastAsia="es-ES"/>
        </w:rPr>
        <w:t xml:space="preserve">funciones principales de un archivo central: reunir, administrar </w:t>
      </w:r>
      <w:r w:rsidR="00B8370E" w:rsidRPr="00485619">
        <w:rPr>
          <w:rFonts w:ascii="Verdana" w:eastAsia="Times New Roman" w:hAnsi="Verdana" w:cs="Times New Roman"/>
          <w:sz w:val="24"/>
          <w:szCs w:val="24"/>
          <w:lang w:val="es-ES" w:eastAsia="es-ES"/>
        </w:rPr>
        <w:t>y facilitar el fondo documental.</w:t>
      </w:r>
    </w:p>
    <w:p w14:paraId="15E397A9" w14:textId="77777777" w:rsidR="00B8370E" w:rsidRPr="00485619" w:rsidRDefault="00B8370E" w:rsidP="00485619">
      <w:pPr>
        <w:spacing w:after="0" w:line="240" w:lineRule="auto"/>
        <w:jc w:val="both"/>
        <w:rPr>
          <w:rFonts w:ascii="Verdana" w:eastAsia="Times New Roman" w:hAnsi="Verdana" w:cs="Times New Roman"/>
          <w:sz w:val="24"/>
          <w:szCs w:val="24"/>
          <w:lang w:val="es-ES" w:eastAsia="es-ES"/>
        </w:rPr>
      </w:pPr>
    </w:p>
    <w:p w14:paraId="573DEDEF" w14:textId="4BCDCF53" w:rsidR="006A6EA9" w:rsidRPr="00485619" w:rsidRDefault="006A6EA9"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Otro aspecto importante de mencionar es que solamente e</w:t>
      </w:r>
      <w:r w:rsidR="004F757B" w:rsidRPr="00485619">
        <w:rPr>
          <w:rFonts w:ascii="Verdana" w:eastAsia="Times New Roman" w:hAnsi="Verdana" w:cs="Times New Roman"/>
          <w:sz w:val="24"/>
          <w:szCs w:val="24"/>
          <w:lang w:val="es-ES" w:eastAsia="es-ES"/>
        </w:rPr>
        <w:t>l 65.54</w:t>
      </w:r>
      <w:r w:rsidRPr="00485619">
        <w:rPr>
          <w:rFonts w:ascii="Verdana" w:eastAsia="Times New Roman" w:hAnsi="Verdana" w:cs="Times New Roman"/>
          <w:sz w:val="24"/>
          <w:szCs w:val="24"/>
          <w:lang w:val="es-ES" w:eastAsia="es-ES"/>
        </w:rPr>
        <w:t>% de las instituciones, cuentan con la estantería suficiente para albergar el acervo documental</w:t>
      </w:r>
      <w:r w:rsidR="00800B07" w:rsidRPr="00485619">
        <w:rPr>
          <w:rFonts w:ascii="Verdana" w:eastAsia="Times New Roman" w:hAnsi="Verdana" w:cs="Times New Roman"/>
          <w:sz w:val="24"/>
          <w:szCs w:val="24"/>
          <w:lang w:val="es-ES" w:eastAsia="es-ES"/>
        </w:rPr>
        <w:t xml:space="preserve"> que custodia, de manera que el 34</w:t>
      </w:r>
      <w:r w:rsidRPr="00485619">
        <w:rPr>
          <w:rFonts w:ascii="Verdana" w:eastAsia="Times New Roman" w:hAnsi="Verdana" w:cs="Times New Roman"/>
          <w:sz w:val="24"/>
          <w:szCs w:val="24"/>
          <w:lang w:val="es-ES" w:eastAsia="es-ES"/>
        </w:rPr>
        <w:t xml:space="preserve">% de las entidades evaluadas podrían presentar problemas para preservar adecuadamente los documentos.  </w:t>
      </w:r>
    </w:p>
    <w:p w14:paraId="7DDDC4DC" w14:textId="77777777" w:rsidR="006A6EA9" w:rsidRPr="00485619" w:rsidRDefault="006A6EA9" w:rsidP="00485619">
      <w:pPr>
        <w:spacing w:after="0" w:line="240" w:lineRule="auto"/>
        <w:ind w:left="840" w:hanging="480"/>
        <w:jc w:val="both"/>
        <w:rPr>
          <w:rFonts w:ascii="Verdana" w:eastAsia="Times New Roman" w:hAnsi="Verdana" w:cs="Times New Roman"/>
          <w:sz w:val="24"/>
          <w:szCs w:val="24"/>
          <w:lang w:val="es-ES" w:eastAsia="es-ES"/>
        </w:rPr>
      </w:pPr>
    </w:p>
    <w:p w14:paraId="3FD6205C" w14:textId="5B312164" w:rsidR="006A6EA9" w:rsidRPr="00485619" w:rsidRDefault="006A6EA9"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 xml:space="preserve">Con respecto al cumplimiento de la normativa relacionada con nuevos soportes documentales, el </w:t>
      </w:r>
      <w:r w:rsidR="004F757B" w:rsidRPr="00485619">
        <w:rPr>
          <w:rFonts w:ascii="Verdana" w:eastAsia="Times New Roman" w:hAnsi="Verdana" w:cs="Times New Roman"/>
          <w:sz w:val="24"/>
          <w:szCs w:val="24"/>
          <w:lang w:val="es-ES" w:eastAsia="es-ES"/>
        </w:rPr>
        <w:t>85.1</w:t>
      </w:r>
      <w:r w:rsidR="00CF26F6" w:rsidRPr="00485619">
        <w:rPr>
          <w:rFonts w:ascii="Verdana" w:eastAsia="Times New Roman" w:hAnsi="Verdana" w:cs="Times New Roman"/>
          <w:sz w:val="24"/>
          <w:szCs w:val="24"/>
          <w:lang w:val="es-ES" w:eastAsia="es-ES"/>
        </w:rPr>
        <w:t xml:space="preserve">% </w:t>
      </w:r>
      <w:r w:rsidR="00A931CF" w:rsidRPr="00485619">
        <w:rPr>
          <w:rFonts w:ascii="Verdana" w:eastAsia="Times New Roman" w:hAnsi="Verdana" w:cs="Times New Roman"/>
          <w:sz w:val="24"/>
          <w:szCs w:val="24"/>
          <w:lang w:val="es-ES" w:eastAsia="es-ES"/>
        </w:rPr>
        <w:t xml:space="preserve">de entidades </w:t>
      </w:r>
      <w:r w:rsidRPr="00485619">
        <w:rPr>
          <w:rFonts w:ascii="Verdana" w:eastAsia="Times New Roman" w:hAnsi="Verdana" w:cs="Times New Roman"/>
          <w:sz w:val="24"/>
          <w:szCs w:val="24"/>
          <w:lang w:val="es-ES" w:eastAsia="es-ES"/>
        </w:rPr>
        <w:t xml:space="preserve">indicaron </w:t>
      </w:r>
      <w:r w:rsidR="00CF26F6" w:rsidRPr="00485619">
        <w:rPr>
          <w:rFonts w:ascii="Verdana" w:eastAsia="Times New Roman" w:hAnsi="Verdana" w:cs="Times New Roman"/>
          <w:sz w:val="24"/>
          <w:szCs w:val="24"/>
          <w:lang w:val="es-ES" w:eastAsia="es-ES"/>
        </w:rPr>
        <w:t>cumplir con dicha normativa en forma total o parcial.</w:t>
      </w:r>
      <w:r w:rsidRPr="00485619">
        <w:rPr>
          <w:rFonts w:ascii="Verdana" w:eastAsia="Times New Roman" w:hAnsi="Verdana" w:cs="Times New Roman"/>
          <w:sz w:val="24"/>
          <w:szCs w:val="24"/>
          <w:lang w:val="es-ES" w:eastAsia="es-ES"/>
        </w:rPr>
        <w:t xml:space="preserve"> </w:t>
      </w:r>
    </w:p>
    <w:p w14:paraId="14A44DC1" w14:textId="77777777" w:rsidR="00A931CF" w:rsidRPr="00485619" w:rsidRDefault="00A931CF" w:rsidP="00485619">
      <w:pPr>
        <w:pStyle w:val="Prrafodelista"/>
        <w:jc w:val="both"/>
        <w:rPr>
          <w:rFonts w:ascii="Verdana" w:hAnsi="Verdana"/>
        </w:rPr>
      </w:pPr>
    </w:p>
    <w:p w14:paraId="7E47A0E7" w14:textId="4C8EC622" w:rsidR="00C14BC4" w:rsidRPr="00485619" w:rsidRDefault="004F757B"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Más del 70</w:t>
      </w:r>
      <w:r w:rsidR="00A931CF" w:rsidRPr="00485619">
        <w:rPr>
          <w:rFonts w:ascii="Verdana" w:eastAsia="Times New Roman" w:hAnsi="Verdana" w:cs="Times New Roman"/>
          <w:sz w:val="24"/>
          <w:szCs w:val="24"/>
          <w:lang w:val="es-ES" w:eastAsia="es-ES"/>
        </w:rPr>
        <w:t xml:space="preserve">% de las instituciones confirmaron no contar con un sistema electrónico para la administración de documentos, </w:t>
      </w:r>
      <w:r w:rsidR="007A522C" w:rsidRPr="00485619">
        <w:rPr>
          <w:rFonts w:ascii="Verdana" w:eastAsia="Times New Roman" w:hAnsi="Verdana" w:cs="Times New Roman"/>
          <w:sz w:val="24"/>
          <w:szCs w:val="24"/>
          <w:lang w:val="es-ES" w:eastAsia="es-ES"/>
        </w:rPr>
        <w:t xml:space="preserve">en contraposición, </w:t>
      </w:r>
      <w:r w:rsidR="00C14BC4" w:rsidRPr="00485619">
        <w:rPr>
          <w:rFonts w:ascii="Verdana" w:eastAsia="Times New Roman" w:hAnsi="Verdana" w:cs="Times New Roman"/>
          <w:sz w:val="24"/>
          <w:szCs w:val="24"/>
          <w:lang w:val="es-ES" w:eastAsia="es-ES"/>
        </w:rPr>
        <w:t>con lo mencionad</w:t>
      </w:r>
      <w:r w:rsidRPr="00485619">
        <w:rPr>
          <w:rFonts w:ascii="Verdana" w:eastAsia="Times New Roman" w:hAnsi="Verdana" w:cs="Times New Roman"/>
          <w:sz w:val="24"/>
          <w:szCs w:val="24"/>
          <w:lang w:val="es-ES" w:eastAsia="es-ES"/>
        </w:rPr>
        <w:t>o anteriormente, ya que el 95.79</w:t>
      </w:r>
      <w:r w:rsidR="00C14BC4" w:rsidRPr="00485619">
        <w:rPr>
          <w:rFonts w:ascii="Verdana" w:eastAsia="Times New Roman" w:hAnsi="Verdana" w:cs="Times New Roman"/>
          <w:sz w:val="24"/>
          <w:szCs w:val="24"/>
          <w:lang w:val="es-ES" w:eastAsia="es-ES"/>
        </w:rPr>
        <w:t xml:space="preserve">% de las </w:t>
      </w:r>
      <w:r w:rsidRPr="00485619">
        <w:rPr>
          <w:rFonts w:ascii="Verdana" w:eastAsia="Times New Roman" w:hAnsi="Verdana" w:cs="Times New Roman"/>
          <w:sz w:val="24"/>
          <w:szCs w:val="24"/>
          <w:lang w:val="es-ES" w:eastAsia="es-ES"/>
        </w:rPr>
        <w:t>organizaciones</w:t>
      </w:r>
      <w:r w:rsidR="00C14BC4" w:rsidRPr="00485619">
        <w:rPr>
          <w:rFonts w:ascii="Verdana" w:eastAsia="Times New Roman" w:hAnsi="Verdana" w:cs="Times New Roman"/>
          <w:sz w:val="24"/>
          <w:szCs w:val="24"/>
          <w:lang w:val="es-ES" w:eastAsia="es-ES"/>
        </w:rPr>
        <w:t xml:space="preserve"> estipularon producir documentos en soporte electrónico. Por lo tanto, los encargados de los archivos centrales </w:t>
      </w:r>
      <w:r w:rsidR="00C35A12" w:rsidRPr="00485619">
        <w:rPr>
          <w:rFonts w:ascii="Verdana" w:eastAsia="Times New Roman" w:hAnsi="Verdana" w:cs="Times New Roman"/>
          <w:sz w:val="24"/>
          <w:szCs w:val="24"/>
          <w:lang w:val="es-ES" w:eastAsia="es-ES"/>
        </w:rPr>
        <w:t>no cuentan con ningún papel protagónico en la génesis,</w:t>
      </w:r>
      <w:r w:rsidR="00A13450" w:rsidRPr="00485619">
        <w:rPr>
          <w:rFonts w:ascii="Verdana" w:eastAsia="Times New Roman" w:hAnsi="Verdana" w:cs="Times New Roman"/>
          <w:sz w:val="24"/>
          <w:szCs w:val="24"/>
          <w:lang w:val="es-ES" w:eastAsia="es-ES"/>
        </w:rPr>
        <w:t xml:space="preserve"> concepción y producción de los documentos electrónicos, y mucho menos en el tratamiento </w:t>
      </w:r>
      <w:r w:rsidR="002F76BE" w:rsidRPr="00485619">
        <w:rPr>
          <w:rFonts w:ascii="Verdana" w:eastAsia="Times New Roman" w:hAnsi="Verdana" w:cs="Times New Roman"/>
          <w:sz w:val="24"/>
          <w:szCs w:val="24"/>
          <w:lang w:val="es-ES" w:eastAsia="es-ES"/>
        </w:rPr>
        <w:t>archivístico</w:t>
      </w:r>
      <w:r w:rsidR="004642E4" w:rsidRPr="00485619">
        <w:rPr>
          <w:rFonts w:ascii="Verdana" w:eastAsia="Times New Roman" w:hAnsi="Verdana" w:cs="Times New Roman"/>
          <w:sz w:val="24"/>
          <w:szCs w:val="24"/>
          <w:lang w:val="es-ES" w:eastAsia="es-ES"/>
        </w:rPr>
        <w:t xml:space="preserve"> (clasificación, ordenación, descripción y selección)</w:t>
      </w:r>
      <w:r w:rsidR="00A13450" w:rsidRPr="00485619">
        <w:rPr>
          <w:rFonts w:ascii="Verdana" w:eastAsia="Times New Roman" w:hAnsi="Verdana" w:cs="Times New Roman"/>
          <w:sz w:val="24"/>
          <w:szCs w:val="24"/>
          <w:lang w:val="es-ES" w:eastAsia="es-ES"/>
        </w:rPr>
        <w:t xml:space="preserve"> de estos documentos.</w:t>
      </w:r>
    </w:p>
    <w:p w14:paraId="1CF4BC2D" w14:textId="77777777" w:rsidR="00C14BC4" w:rsidRPr="00485619" w:rsidRDefault="00C14BC4" w:rsidP="00485619">
      <w:pPr>
        <w:pStyle w:val="Prrafodelista"/>
        <w:jc w:val="both"/>
        <w:rPr>
          <w:rFonts w:ascii="Verdana" w:hAnsi="Verdana"/>
        </w:rPr>
      </w:pPr>
    </w:p>
    <w:p w14:paraId="73E3C05E" w14:textId="14D7147A" w:rsidR="00A931CF" w:rsidRPr="00485619" w:rsidRDefault="005223EF"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 las pocas instituciones (</w:t>
      </w:r>
      <w:r w:rsidR="00CB3EE5" w:rsidRPr="00485619">
        <w:rPr>
          <w:rFonts w:ascii="Verdana" w:eastAsia="Times New Roman" w:hAnsi="Verdana" w:cs="Times New Roman"/>
          <w:sz w:val="24"/>
          <w:szCs w:val="24"/>
          <w:lang w:val="es-ES" w:eastAsia="es-ES"/>
        </w:rPr>
        <w:t>32</w:t>
      </w:r>
      <w:r w:rsidRPr="00485619">
        <w:rPr>
          <w:rFonts w:ascii="Verdana" w:eastAsia="Times New Roman" w:hAnsi="Verdana" w:cs="Times New Roman"/>
          <w:sz w:val="24"/>
          <w:szCs w:val="24"/>
          <w:lang w:val="es-ES" w:eastAsia="es-ES"/>
        </w:rPr>
        <w:t>) que cuen</w:t>
      </w:r>
      <w:r w:rsidR="00CB3EE5" w:rsidRPr="00485619">
        <w:rPr>
          <w:rFonts w:ascii="Verdana" w:eastAsia="Times New Roman" w:hAnsi="Verdana" w:cs="Times New Roman"/>
          <w:sz w:val="24"/>
          <w:szCs w:val="24"/>
          <w:lang w:val="es-ES" w:eastAsia="es-ES"/>
        </w:rPr>
        <w:t>tan con un gestor documental, 22</w:t>
      </w:r>
      <w:r w:rsidRPr="00485619">
        <w:rPr>
          <w:rFonts w:ascii="Verdana" w:eastAsia="Times New Roman" w:hAnsi="Verdana" w:cs="Times New Roman"/>
          <w:sz w:val="24"/>
          <w:szCs w:val="24"/>
          <w:lang w:val="es-ES" w:eastAsia="es-ES"/>
        </w:rPr>
        <w:t xml:space="preserve"> señalaron que el encargado del archivo central participó en el diseño e implementación de dicho sistema. </w:t>
      </w:r>
    </w:p>
    <w:p w14:paraId="4EF86F9D"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2BDEC782" w14:textId="77777777" w:rsidR="00802D6E" w:rsidRPr="00485619" w:rsidRDefault="006A6EA9"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Finalmente, es importante tener en cuent</w:t>
      </w:r>
      <w:r w:rsidR="008D5A54" w:rsidRPr="00485619">
        <w:rPr>
          <w:rFonts w:ascii="Verdana" w:eastAsia="Times New Roman" w:hAnsi="Verdana" w:cs="Times New Roman"/>
          <w:sz w:val="24"/>
          <w:szCs w:val="24"/>
          <w:lang w:val="es-ES" w:eastAsia="es-ES"/>
        </w:rPr>
        <w:t xml:space="preserve">a que muchos de los </w:t>
      </w:r>
      <w:r w:rsidRPr="00485619">
        <w:rPr>
          <w:rFonts w:ascii="Verdana" w:eastAsia="Times New Roman" w:hAnsi="Verdana" w:cs="Times New Roman"/>
          <w:sz w:val="24"/>
          <w:szCs w:val="24"/>
          <w:lang w:val="es-ES" w:eastAsia="es-ES"/>
        </w:rPr>
        <w:t xml:space="preserve">datos aportados por los encargados de los Archivos Centrales en temas </w:t>
      </w:r>
      <w:r w:rsidR="008D5A54" w:rsidRPr="00485619">
        <w:rPr>
          <w:rFonts w:ascii="Verdana" w:eastAsia="Times New Roman" w:hAnsi="Verdana" w:cs="Times New Roman"/>
          <w:sz w:val="24"/>
          <w:szCs w:val="24"/>
          <w:lang w:val="es-ES" w:eastAsia="es-ES"/>
        </w:rPr>
        <w:t xml:space="preserve">generales </w:t>
      </w:r>
      <w:r w:rsidRPr="00485619">
        <w:rPr>
          <w:rFonts w:ascii="Verdana" w:eastAsia="Times New Roman" w:hAnsi="Verdana" w:cs="Times New Roman"/>
          <w:sz w:val="24"/>
          <w:szCs w:val="24"/>
          <w:lang w:val="es-ES" w:eastAsia="es-ES"/>
        </w:rPr>
        <w:t>como clasifica</w:t>
      </w:r>
      <w:r w:rsidR="008D5A54" w:rsidRPr="00485619">
        <w:rPr>
          <w:rFonts w:ascii="Verdana" w:eastAsia="Times New Roman" w:hAnsi="Verdana" w:cs="Times New Roman"/>
          <w:sz w:val="24"/>
          <w:szCs w:val="24"/>
          <w:lang w:val="es-ES" w:eastAsia="es-ES"/>
        </w:rPr>
        <w:t xml:space="preserve">ción, ordenación, descripción, </w:t>
      </w:r>
      <w:r w:rsidRPr="00485619">
        <w:rPr>
          <w:rFonts w:ascii="Verdana" w:eastAsia="Times New Roman" w:hAnsi="Verdana" w:cs="Times New Roman"/>
          <w:sz w:val="24"/>
          <w:szCs w:val="24"/>
          <w:lang w:val="es-ES" w:eastAsia="es-ES"/>
        </w:rPr>
        <w:t xml:space="preserve">valoración documental, </w:t>
      </w:r>
      <w:r w:rsidR="008D5A54" w:rsidRPr="00485619">
        <w:rPr>
          <w:rFonts w:ascii="Verdana" w:eastAsia="Times New Roman" w:hAnsi="Verdana" w:cs="Times New Roman"/>
          <w:sz w:val="24"/>
          <w:szCs w:val="24"/>
          <w:lang w:val="es-ES" w:eastAsia="es-ES"/>
        </w:rPr>
        <w:t xml:space="preserve">y aquellos relacionados con documento electrónico, firma digital, entre otros, </w:t>
      </w:r>
      <w:r w:rsidRPr="00485619">
        <w:rPr>
          <w:rFonts w:ascii="Verdana" w:eastAsia="Times New Roman" w:hAnsi="Verdana" w:cs="Times New Roman"/>
          <w:sz w:val="24"/>
          <w:szCs w:val="24"/>
          <w:lang w:val="es-ES" w:eastAsia="es-ES"/>
        </w:rPr>
        <w:t xml:space="preserve">son </w:t>
      </w:r>
      <w:r w:rsidR="00347F5B" w:rsidRPr="00485619">
        <w:rPr>
          <w:rFonts w:ascii="Verdana" w:eastAsia="Times New Roman" w:hAnsi="Verdana" w:cs="Times New Roman"/>
          <w:sz w:val="24"/>
          <w:szCs w:val="24"/>
          <w:lang w:val="es-ES" w:eastAsia="es-ES"/>
        </w:rPr>
        <w:t>contradictorios</w:t>
      </w:r>
      <w:r w:rsidRPr="00485619">
        <w:rPr>
          <w:rFonts w:ascii="Verdana" w:eastAsia="Times New Roman" w:hAnsi="Verdana" w:cs="Times New Roman"/>
          <w:sz w:val="24"/>
          <w:szCs w:val="24"/>
          <w:lang w:val="es-ES" w:eastAsia="es-ES"/>
        </w:rPr>
        <w:t xml:space="preserve">. </w:t>
      </w:r>
    </w:p>
    <w:p w14:paraId="1C98882A" w14:textId="77777777" w:rsidR="00802D6E" w:rsidRPr="00485619" w:rsidRDefault="00802D6E" w:rsidP="00485619">
      <w:pPr>
        <w:pStyle w:val="Prrafodelista"/>
        <w:jc w:val="both"/>
        <w:rPr>
          <w:rFonts w:ascii="Verdana" w:hAnsi="Verdana"/>
        </w:rPr>
      </w:pPr>
    </w:p>
    <w:p w14:paraId="22AC871B" w14:textId="1A9382A6" w:rsidR="00802D6E" w:rsidRPr="00BE7A84" w:rsidRDefault="00802D6E" w:rsidP="00485619">
      <w:pPr>
        <w:spacing w:after="0" w:line="240" w:lineRule="auto"/>
        <w:ind w:left="840"/>
        <w:jc w:val="both"/>
        <w:rPr>
          <w:rFonts w:ascii="Verdana" w:eastAsia="Times New Roman" w:hAnsi="Verdana" w:cs="Times New Roman"/>
          <w:strike/>
          <w:sz w:val="24"/>
          <w:szCs w:val="24"/>
          <w:lang w:val="es-ES" w:eastAsia="es-ES"/>
        </w:rPr>
      </w:pPr>
      <w:r w:rsidRPr="00485619">
        <w:rPr>
          <w:rFonts w:ascii="Verdana" w:hAnsi="Verdana"/>
          <w:sz w:val="24"/>
          <w:szCs w:val="24"/>
        </w:rPr>
        <w:t xml:space="preserve">Esta situación, es preocupante, si se toma en cuenta que aproximadamente el 90% de los Archivos Centrales de las </w:t>
      </w:r>
      <w:r w:rsidR="00292DDE" w:rsidRPr="00485619">
        <w:rPr>
          <w:rFonts w:ascii="Verdana" w:hAnsi="Verdana"/>
          <w:sz w:val="24"/>
          <w:szCs w:val="24"/>
        </w:rPr>
        <w:t xml:space="preserve">instituciones </w:t>
      </w:r>
      <w:r w:rsidRPr="00485619">
        <w:rPr>
          <w:rFonts w:ascii="Verdana" w:hAnsi="Verdana"/>
          <w:sz w:val="24"/>
          <w:szCs w:val="24"/>
        </w:rPr>
        <w:t>analizadas están liderados por profesionales, ya sea en archivística (6</w:t>
      </w:r>
      <w:r w:rsidR="000A2CD6" w:rsidRPr="00485619">
        <w:rPr>
          <w:rFonts w:ascii="Verdana" w:hAnsi="Verdana"/>
          <w:sz w:val="24"/>
          <w:szCs w:val="24"/>
        </w:rPr>
        <w:t>2</w:t>
      </w:r>
      <w:r w:rsidRPr="00485619">
        <w:rPr>
          <w:rFonts w:ascii="Verdana" w:hAnsi="Verdana"/>
          <w:sz w:val="24"/>
          <w:szCs w:val="24"/>
        </w:rPr>
        <w:t xml:space="preserve">%) </w:t>
      </w:r>
      <w:r w:rsidR="00A653BD">
        <w:rPr>
          <w:rFonts w:ascii="Verdana" w:hAnsi="Verdana"/>
          <w:sz w:val="24"/>
          <w:szCs w:val="24"/>
        </w:rPr>
        <w:t>o en otros campos académicos (2</w:t>
      </w:r>
      <w:r w:rsidR="000A2CD6" w:rsidRPr="00485619">
        <w:rPr>
          <w:rFonts w:ascii="Verdana" w:hAnsi="Verdana"/>
          <w:sz w:val="24"/>
          <w:szCs w:val="24"/>
        </w:rPr>
        <w:t>8</w:t>
      </w:r>
      <w:r w:rsidRPr="00485619">
        <w:rPr>
          <w:rFonts w:ascii="Verdana" w:hAnsi="Verdana"/>
          <w:sz w:val="24"/>
          <w:szCs w:val="24"/>
        </w:rPr>
        <w:t>%)</w:t>
      </w:r>
      <w:r w:rsidR="00A0126A">
        <w:rPr>
          <w:rFonts w:ascii="Verdana" w:hAnsi="Verdana"/>
          <w:sz w:val="24"/>
          <w:szCs w:val="24"/>
        </w:rPr>
        <w:t>.</w:t>
      </w:r>
    </w:p>
    <w:p w14:paraId="4FC7D419" w14:textId="77777777" w:rsidR="00802D6E" w:rsidRPr="00485619" w:rsidRDefault="00802D6E" w:rsidP="00485619">
      <w:pPr>
        <w:pStyle w:val="Prrafodelista"/>
        <w:jc w:val="both"/>
        <w:rPr>
          <w:rFonts w:ascii="Verdana" w:hAnsi="Verdana"/>
        </w:rPr>
      </w:pPr>
    </w:p>
    <w:p w14:paraId="4020B340" w14:textId="43B0E5D3" w:rsidR="00802D6E" w:rsidRPr="00485619" w:rsidRDefault="000A2CD6" w:rsidP="00485619">
      <w:pPr>
        <w:numPr>
          <w:ilvl w:val="0"/>
          <w:numId w:val="7"/>
        </w:numPr>
        <w:spacing w:after="0" w:line="240" w:lineRule="auto"/>
        <w:ind w:left="840" w:hanging="480"/>
        <w:jc w:val="both"/>
        <w:rPr>
          <w:rFonts w:ascii="Verdana" w:eastAsia="Times New Roman" w:hAnsi="Verdana" w:cs="Times New Roman"/>
          <w:sz w:val="24"/>
          <w:szCs w:val="24"/>
          <w:lang w:val="es-ES" w:eastAsia="es-ES"/>
        </w:rPr>
      </w:pPr>
      <w:r w:rsidRPr="00485619">
        <w:rPr>
          <w:rFonts w:ascii="Verdana" w:eastAsia="Times New Roman" w:hAnsi="Verdana" w:cs="Times New Roman"/>
          <w:sz w:val="24"/>
          <w:szCs w:val="24"/>
          <w:lang w:val="es-ES" w:eastAsia="es-ES"/>
        </w:rPr>
        <w:t>De las 324 instituciones solamente 119</w:t>
      </w:r>
      <w:r w:rsidR="00851E4C" w:rsidRPr="00485619">
        <w:rPr>
          <w:rFonts w:ascii="Verdana" w:eastAsia="Times New Roman" w:hAnsi="Verdana" w:cs="Times New Roman"/>
          <w:sz w:val="24"/>
          <w:szCs w:val="24"/>
          <w:lang w:val="es-ES" w:eastAsia="es-ES"/>
        </w:rPr>
        <w:t xml:space="preserve"> presentaron el Informe</w:t>
      </w:r>
      <w:r w:rsidRPr="00485619">
        <w:rPr>
          <w:rFonts w:ascii="Verdana" w:eastAsia="Times New Roman" w:hAnsi="Verdana" w:cs="Times New Roman"/>
          <w:sz w:val="24"/>
          <w:szCs w:val="24"/>
          <w:lang w:val="es-ES" w:eastAsia="es-ES"/>
        </w:rPr>
        <w:t xml:space="preserve"> de Desarrollo Archivístico 2014-2015 para un total de 36.2</w:t>
      </w:r>
      <w:r w:rsidR="00851E4C" w:rsidRPr="00485619">
        <w:rPr>
          <w:rFonts w:ascii="Verdana" w:eastAsia="Times New Roman" w:hAnsi="Verdana" w:cs="Times New Roman"/>
          <w:sz w:val="24"/>
          <w:szCs w:val="24"/>
          <w:lang w:val="es-ES" w:eastAsia="es-ES"/>
        </w:rPr>
        <w:t xml:space="preserve">% y el resto de las instituciones que conforman el Sistema Nacional de Archivos incumplieron con esta disposición. </w:t>
      </w:r>
    </w:p>
    <w:p w14:paraId="418974DE" w14:textId="3DC2A418" w:rsidR="00407698" w:rsidRDefault="00407698">
      <w:pPr>
        <w:rPr>
          <w:rFonts w:ascii="Verdana" w:eastAsia="Times New Roman" w:hAnsi="Verdana" w:cs="Arial"/>
          <w:sz w:val="24"/>
          <w:szCs w:val="24"/>
          <w:highlight w:val="yellow"/>
          <w:lang w:val="es-ES" w:eastAsia="es-ES"/>
        </w:rPr>
      </w:pPr>
      <w:r>
        <w:rPr>
          <w:rFonts w:ascii="Verdana" w:eastAsia="Times New Roman" w:hAnsi="Verdana" w:cs="Arial"/>
          <w:sz w:val="24"/>
          <w:szCs w:val="24"/>
          <w:highlight w:val="yellow"/>
          <w:lang w:val="es-ES" w:eastAsia="es-ES"/>
        </w:rPr>
        <w:br w:type="page"/>
      </w:r>
    </w:p>
    <w:p w14:paraId="4EC208A2" w14:textId="77777777" w:rsidR="006A6EA9" w:rsidRPr="00485619" w:rsidRDefault="006A6EA9" w:rsidP="00485619">
      <w:pPr>
        <w:pStyle w:val="Ttulo1"/>
        <w:jc w:val="both"/>
        <w:rPr>
          <w:rFonts w:ascii="Verdana" w:hAnsi="Verdana"/>
          <w:sz w:val="24"/>
          <w:szCs w:val="24"/>
        </w:rPr>
      </w:pPr>
      <w:bookmarkStart w:id="17" w:name="_Toc444697514"/>
      <w:r w:rsidRPr="00485619">
        <w:rPr>
          <w:rFonts w:ascii="Verdana" w:hAnsi="Verdana"/>
          <w:sz w:val="24"/>
          <w:szCs w:val="24"/>
        </w:rPr>
        <w:t>VIII. Recomendaciones</w:t>
      </w:r>
      <w:bookmarkEnd w:id="17"/>
    </w:p>
    <w:p w14:paraId="04D21356" w14:textId="77777777" w:rsidR="006A6EA9" w:rsidRDefault="006A6EA9" w:rsidP="00485619">
      <w:pPr>
        <w:spacing w:after="0" w:line="240" w:lineRule="auto"/>
        <w:jc w:val="both"/>
        <w:rPr>
          <w:rFonts w:ascii="Verdana" w:eastAsia="Times New Roman" w:hAnsi="Verdana" w:cs="Times New Roman"/>
          <w:sz w:val="24"/>
          <w:szCs w:val="24"/>
          <w:lang w:val="es-ES" w:eastAsia="es-ES"/>
        </w:rPr>
      </w:pPr>
    </w:p>
    <w:p w14:paraId="21C2443F" w14:textId="34C0FA15" w:rsidR="006F3BA9" w:rsidRDefault="006F3BA9" w:rsidP="00485619">
      <w:pPr>
        <w:spacing w:after="0" w:line="240" w:lineRule="auto"/>
        <w:jc w:val="both"/>
        <w:rPr>
          <w:rFonts w:ascii="Verdana" w:eastAsia="Times New Roman" w:hAnsi="Verdana" w:cs="Times New Roman"/>
          <w:b/>
          <w:sz w:val="24"/>
          <w:szCs w:val="24"/>
          <w:lang w:val="es-ES" w:eastAsia="es-ES"/>
        </w:rPr>
      </w:pPr>
      <w:r w:rsidRPr="006F3BA9">
        <w:rPr>
          <w:rFonts w:ascii="Verdana" w:eastAsia="Times New Roman" w:hAnsi="Verdana" w:cs="Times New Roman"/>
          <w:b/>
          <w:sz w:val="24"/>
          <w:szCs w:val="24"/>
          <w:lang w:val="es-ES" w:eastAsia="es-ES"/>
        </w:rPr>
        <w:t>Recomendaciones generales</w:t>
      </w:r>
    </w:p>
    <w:p w14:paraId="2A6BB0F2" w14:textId="77777777" w:rsidR="00AF0432" w:rsidRPr="006F3BA9" w:rsidRDefault="00AF0432" w:rsidP="00485619">
      <w:pPr>
        <w:spacing w:after="0" w:line="240" w:lineRule="auto"/>
        <w:jc w:val="both"/>
        <w:rPr>
          <w:rFonts w:ascii="Verdana" w:eastAsia="Times New Roman" w:hAnsi="Verdana" w:cs="Times New Roman"/>
          <w:b/>
          <w:sz w:val="24"/>
          <w:szCs w:val="24"/>
          <w:lang w:val="es-ES" w:eastAsia="es-ES"/>
        </w:rPr>
      </w:pPr>
    </w:p>
    <w:p w14:paraId="0A3C6D9D" w14:textId="77777777" w:rsidR="006A6EA9" w:rsidRPr="00AF0432" w:rsidRDefault="006A6EA9" w:rsidP="00485619">
      <w:pPr>
        <w:numPr>
          <w:ilvl w:val="0"/>
          <w:numId w:val="8"/>
        </w:numPr>
        <w:spacing w:after="0" w:line="240" w:lineRule="auto"/>
        <w:jc w:val="both"/>
        <w:rPr>
          <w:rFonts w:ascii="Verdana" w:eastAsia="Times New Roman" w:hAnsi="Verdana" w:cs="Times New Roman"/>
          <w:bCs/>
          <w:sz w:val="24"/>
          <w:szCs w:val="24"/>
          <w:lang w:val="es-ES" w:eastAsia="es-ES"/>
        </w:rPr>
      </w:pPr>
      <w:r w:rsidRPr="00AF0432">
        <w:rPr>
          <w:rFonts w:ascii="Verdana" w:eastAsia="Times New Roman" w:hAnsi="Verdana" w:cs="Times New Roman"/>
          <w:bCs/>
          <w:sz w:val="24"/>
          <w:szCs w:val="24"/>
          <w:lang w:val="es-ES" w:eastAsia="es-ES"/>
        </w:rPr>
        <w:t xml:space="preserve">Se recomienda enviar copia de los resultados de este informe a: </w:t>
      </w:r>
    </w:p>
    <w:p w14:paraId="4B45C952" w14:textId="77777777" w:rsidR="006A6EA9" w:rsidRPr="00AF0432" w:rsidRDefault="006A6EA9" w:rsidP="00485619">
      <w:pPr>
        <w:spacing w:after="0" w:line="240" w:lineRule="auto"/>
        <w:ind w:left="720"/>
        <w:jc w:val="both"/>
        <w:rPr>
          <w:rFonts w:ascii="Verdana" w:eastAsia="Times New Roman" w:hAnsi="Verdana" w:cs="Times New Roman"/>
          <w:bCs/>
          <w:sz w:val="24"/>
          <w:szCs w:val="24"/>
          <w:lang w:val="es-ES" w:eastAsia="es-ES"/>
        </w:rPr>
      </w:pPr>
    </w:p>
    <w:p w14:paraId="4F492BD9" w14:textId="60E3DBEC" w:rsidR="006A6EA9" w:rsidRPr="00AF0432" w:rsidRDefault="006A6EA9" w:rsidP="00485619">
      <w:pPr>
        <w:numPr>
          <w:ilvl w:val="0"/>
          <w:numId w:val="11"/>
        </w:numPr>
        <w:spacing w:after="0" w:line="240" w:lineRule="auto"/>
        <w:jc w:val="both"/>
        <w:rPr>
          <w:rFonts w:ascii="Verdana" w:eastAsia="Times New Roman" w:hAnsi="Verdana" w:cs="Times New Roman"/>
          <w:bCs/>
          <w:sz w:val="24"/>
          <w:szCs w:val="24"/>
          <w:lang w:val="es-ES" w:eastAsia="es-ES"/>
        </w:rPr>
      </w:pPr>
      <w:r w:rsidRPr="00AF0432">
        <w:rPr>
          <w:rFonts w:ascii="Verdana" w:eastAsia="Times New Roman" w:hAnsi="Verdana" w:cs="Times New Roman"/>
          <w:bCs/>
          <w:sz w:val="24"/>
          <w:szCs w:val="24"/>
          <w:lang w:val="es-ES" w:eastAsia="es-ES"/>
        </w:rPr>
        <w:t xml:space="preserve">Los jerarcas y encargados de los archivos centrales de las </w:t>
      </w:r>
      <w:r w:rsidR="00C54928" w:rsidRPr="00AF0432">
        <w:rPr>
          <w:rFonts w:ascii="Verdana" w:eastAsia="Times New Roman" w:hAnsi="Verdana" w:cs="Times New Roman"/>
          <w:bCs/>
          <w:sz w:val="24"/>
          <w:szCs w:val="24"/>
          <w:lang w:val="es-ES" w:eastAsia="es-ES"/>
        </w:rPr>
        <w:t xml:space="preserve">instituciones que en </w:t>
      </w:r>
      <w:r w:rsidR="005B62E3" w:rsidRPr="00AF0432">
        <w:rPr>
          <w:rFonts w:ascii="Verdana" w:eastAsia="Times New Roman" w:hAnsi="Verdana" w:cs="Times New Roman"/>
          <w:bCs/>
          <w:sz w:val="24"/>
          <w:szCs w:val="24"/>
          <w:lang w:val="es-ES" w:eastAsia="es-ES"/>
        </w:rPr>
        <w:t>el año 2015</w:t>
      </w:r>
      <w:r w:rsidRPr="00AF0432">
        <w:rPr>
          <w:rFonts w:ascii="Verdana" w:eastAsia="Times New Roman" w:hAnsi="Verdana" w:cs="Times New Roman"/>
          <w:bCs/>
          <w:sz w:val="24"/>
          <w:szCs w:val="24"/>
          <w:lang w:val="es-ES" w:eastAsia="es-ES"/>
        </w:rPr>
        <w:t xml:space="preserve"> presentaron el informe de desarrollo archivístico. </w:t>
      </w:r>
    </w:p>
    <w:p w14:paraId="45241499" w14:textId="77777777" w:rsidR="006A6EA9" w:rsidRPr="00AF0432" w:rsidRDefault="006A6EA9" w:rsidP="00485619">
      <w:pPr>
        <w:numPr>
          <w:ilvl w:val="0"/>
          <w:numId w:val="11"/>
        </w:numPr>
        <w:spacing w:after="0" w:line="240" w:lineRule="auto"/>
        <w:jc w:val="both"/>
        <w:rPr>
          <w:rFonts w:ascii="Verdana" w:eastAsia="Times New Roman" w:hAnsi="Verdana" w:cs="Times New Roman"/>
          <w:bCs/>
          <w:sz w:val="24"/>
          <w:szCs w:val="24"/>
          <w:lang w:val="es-ES" w:eastAsia="es-ES"/>
        </w:rPr>
      </w:pPr>
      <w:r w:rsidRPr="00AF0432">
        <w:rPr>
          <w:rFonts w:ascii="Verdana" w:eastAsia="Times New Roman" w:hAnsi="Verdana" w:cs="Times New Roman"/>
          <w:bCs/>
          <w:sz w:val="24"/>
          <w:szCs w:val="24"/>
          <w:lang w:val="es-ES" w:eastAsia="es-ES"/>
        </w:rPr>
        <w:t xml:space="preserve">Defensoría de los Habitantes </w:t>
      </w:r>
    </w:p>
    <w:p w14:paraId="14371996" w14:textId="77777777" w:rsidR="006A6EA9" w:rsidRPr="00AF0432" w:rsidRDefault="006A6EA9" w:rsidP="00485619">
      <w:pPr>
        <w:numPr>
          <w:ilvl w:val="0"/>
          <w:numId w:val="11"/>
        </w:numPr>
        <w:spacing w:after="0" w:line="240" w:lineRule="auto"/>
        <w:jc w:val="both"/>
        <w:rPr>
          <w:rFonts w:ascii="Verdana" w:eastAsia="Times New Roman" w:hAnsi="Verdana" w:cs="Times New Roman"/>
          <w:bCs/>
          <w:sz w:val="24"/>
          <w:szCs w:val="24"/>
          <w:lang w:val="es-ES" w:eastAsia="es-ES"/>
        </w:rPr>
      </w:pPr>
      <w:r w:rsidRPr="00AF0432">
        <w:rPr>
          <w:rFonts w:ascii="Verdana" w:eastAsia="Times New Roman" w:hAnsi="Verdana" w:cs="Times New Roman"/>
          <w:bCs/>
          <w:sz w:val="24"/>
          <w:szCs w:val="24"/>
          <w:lang w:val="es-ES" w:eastAsia="es-ES"/>
        </w:rPr>
        <w:t>Sección de Archivística de la Universidad de Costa Rica</w:t>
      </w:r>
    </w:p>
    <w:p w14:paraId="20DD4777" w14:textId="77777777" w:rsidR="00AF5ECA" w:rsidRPr="00AF0432" w:rsidRDefault="00AF5ECA" w:rsidP="00485619">
      <w:pPr>
        <w:spacing w:after="0" w:line="240" w:lineRule="auto"/>
        <w:jc w:val="both"/>
        <w:rPr>
          <w:rFonts w:ascii="Verdana" w:eastAsia="Times New Roman" w:hAnsi="Verdana" w:cs="Times New Roman"/>
          <w:bCs/>
          <w:sz w:val="24"/>
          <w:szCs w:val="24"/>
          <w:lang w:val="es-ES" w:eastAsia="es-ES"/>
        </w:rPr>
      </w:pPr>
    </w:p>
    <w:p w14:paraId="640B6E01" w14:textId="77777777" w:rsidR="006A6EA9" w:rsidRPr="00AF0432" w:rsidRDefault="006A6EA9" w:rsidP="00485619">
      <w:pPr>
        <w:numPr>
          <w:ilvl w:val="0"/>
          <w:numId w:val="8"/>
        </w:numPr>
        <w:spacing w:after="0" w:line="240" w:lineRule="auto"/>
        <w:jc w:val="both"/>
        <w:rPr>
          <w:rFonts w:ascii="Verdana" w:eastAsia="Times New Roman" w:hAnsi="Verdana" w:cs="Times New Roman"/>
          <w:bCs/>
          <w:sz w:val="24"/>
          <w:szCs w:val="24"/>
          <w:lang w:val="es-ES" w:eastAsia="es-ES"/>
        </w:rPr>
      </w:pPr>
      <w:r w:rsidRPr="00AF0432">
        <w:rPr>
          <w:rFonts w:ascii="Verdana" w:eastAsia="Times New Roman" w:hAnsi="Verdana" w:cs="Times New Roman"/>
          <w:bCs/>
          <w:sz w:val="24"/>
          <w:szCs w:val="24"/>
          <w:lang w:val="es-ES" w:eastAsia="es-ES"/>
        </w:rPr>
        <w:t xml:space="preserve">Se recomienda a la Sección de Archivística de la Universidad de Costa Rica y a la Unidad de Capacitación del Archivo Nacional, realizar actividades de actualización profesional en temas tales como: clasificación, ordenación, descripción normalizada, </w:t>
      </w:r>
      <w:r w:rsidR="00C54928" w:rsidRPr="00AF0432">
        <w:rPr>
          <w:rFonts w:ascii="Verdana" w:eastAsia="Times New Roman" w:hAnsi="Verdana" w:cs="Times New Roman"/>
          <w:bCs/>
          <w:sz w:val="24"/>
          <w:szCs w:val="24"/>
          <w:lang w:val="es-ES" w:eastAsia="es-ES"/>
        </w:rPr>
        <w:t xml:space="preserve">firma digital, </w:t>
      </w:r>
      <w:r w:rsidRPr="00AF0432">
        <w:rPr>
          <w:rFonts w:ascii="Verdana" w:eastAsia="Times New Roman" w:hAnsi="Verdana" w:cs="Times New Roman"/>
          <w:bCs/>
          <w:sz w:val="24"/>
          <w:szCs w:val="24"/>
          <w:lang w:val="es-ES" w:eastAsia="es-ES"/>
        </w:rPr>
        <w:t>utilización de bases de datos y software útiles para la gestión documental</w:t>
      </w:r>
      <w:r w:rsidR="00C54928" w:rsidRPr="00AF0432">
        <w:rPr>
          <w:rFonts w:ascii="Verdana" w:eastAsia="Times New Roman" w:hAnsi="Verdana" w:cs="Times New Roman"/>
          <w:bCs/>
          <w:sz w:val="24"/>
          <w:szCs w:val="24"/>
          <w:lang w:val="es-ES" w:eastAsia="es-ES"/>
        </w:rPr>
        <w:t xml:space="preserve"> electrónica</w:t>
      </w:r>
      <w:r w:rsidRPr="00AF0432">
        <w:rPr>
          <w:rFonts w:ascii="Verdana" w:eastAsia="Times New Roman" w:hAnsi="Verdana" w:cs="Times New Roman"/>
          <w:bCs/>
          <w:sz w:val="24"/>
          <w:szCs w:val="24"/>
          <w:lang w:val="es-ES" w:eastAsia="es-ES"/>
        </w:rPr>
        <w:t xml:space="preserve">, etc. </w:t>
      </w:r>
    </w:p>
    <w:p w14:paraId="25880B09" w14:textId="77777777" w:rsidR="00AF5ECA" w:rsidRPr="00AF0432" w:rsidRDefault="00AF5ECA" w:rsidP="00485619">
      <w:pPr>
        <w:spacing w:after="0" w:line="240" w:lineRule="auto"/>
        <w:ind w:left="720"/>
        <w:jc w:val="both"/>
        <w:rPr>
          <w:rFonts w:ascii="Verdana" w:eastAsia="Times New Roman" w:hAnsi="Verdana" w:cs="Times New Roman"/>
          <w:bCs/>
          <w:sz w:val="24"/>
          <w:szCs w:val="24"/>
          <w:lang w:val="es-ES" w:eastAsia="es-ES"/>
        </w:rPr>
      </w:pPr>
    </w:p>
    <w:p w14:paraId="6F1C169B" w14:textId="77777777" w:rsidR="006A6EA9" w:rsidRPr="00AF0432" w:rsidRDefault="006A6EA9" w:rsidP="00485619">
      <w:pPr>
        <w:numPr>
          <w:ilvl w:val="0"/>
          <w:numId w:val="8"/>
        </w:numPr>
        <w:spacing w:after="0" w:line="240" w:lineRule="auto"/>
        <w:jc w:val="both"/>
        <w:rPr>
          <w:rFonts w:ascii="Verdana" w:eastAsia="Times New Roman" w:hAnsi="Verdana" w:cs="Times New Roman"/>
          <w:bCs/>
          <w:sz w:val="24"/>
          <w:szCs w:val="24"/>
          <w:lang w:val="es-ES" w:eastAsia="es-ES"/>
        </w:rPr>
      </w:pPr>
      <w:r w:rsidRPr="00AF0432">
        <w:rPr>
          <w:rFonts w:ascii="Verdana" w:eastAsia="Times New Roman" w:hAnsi="Verdana" w:cs="Times New Roman"/>
          <w:bCs/>
          <w:sz w:val="24"/>
          <w:szCs w:val="24"/>
          <w:lang w:val="es-ES" w:eastAsia="es-ES"/>
        </w:rPr>
        <w:t xml:space="preserve">Publicar este informe en la página web del Archivo Nacional </w:t>
      </w:r>
    </w:p>
    <w:p w14:paraId="239C3D4F" w14:textId="77777777" w:rsidR="00AF5ECA" w:rsidRPr="00AF0432" w:rsidRDefault="00AF5ECA" w:rsidP="00485619">
      <w:pPr>
        <w:spacing w:after="0" w:line="240" w:lineRule="auto"/>
        <w:ind w:left="720"/>
        <w:jc w:val="both"/>
        <w:rPr>
          <w:rFonts w:ascii="Verdana" w:eastAsia="Times New Roman" w:hAnsi="Verdana" w:cs="Times New Roman"/>
          <w:sz w:val="24"/>
          <w:szCs w:val="24"/>
          <w:lang w:val="es-ES" w:eastAsia="es-ES"/>
        </w:rPr>
      </w:pPr>
    </w:p>
    <w:p w14:paraId="3BE8C30F" w14:textId="77777777" w:rsidR="006A6EA9" w:rsidRPr="00AF0432" w:rsidRDefault="006A6EA9" w:rsidP="00A215A9">
      <w:pPr>
        <w:numPr>
          <w:ilvl w:val="0"/>
          <w:numId w:val="8"/>
        </w:numPr>
        <w:spacing w:after="0" w:line="240" w:lineRule="auto"/>
        <w:jc w:val="both"/>
        <w:rPr>
          <w:rFonts w:ascii="Verdana" w:eastAsia="Times New Roman" w:hAnsi="Verdana" w:cs="Times New Roman"/>
          <w:sz w:val="24"/>
          <w:szCs w:val="24"/>
          <w:lang w:val="es-ES" w:eastAsia="es-ES"/>
        </w:rPr>
      </w:pPr>
      <w:r w:rsidRPr="00AF0432">
        <w:rPr>
          <w:rFonts w:ascii="Verdana" w:eastAsia="Times New Roman" w:hAnsi="Verdana" w:cs="Times New Roman"/>
          <w:bCs/>
          <w:sz w:val="24"/>
          <w:szCs w:val="24"/>
          <w:lang w:val="es-ES" w:eastAsia="es-ES"/>
        </w:rPr>
        <w:t xml:space="preserve">Debido a que el informe de desarrollo archivístico institucional evalúa todos los elementos establecidos en la Ley 7202 y su reglamento para el desempeño de las buenas prácticas archivísticas, es indispensable su presentación ante el Archivo Nacional, tal y como se establece en el artículo 42, inciso j) de la Ley 7202. Por lo tanto, se recomienda enviar una circular a los jerarcas de las instituciones </w:t>
      </w:r>
      <w:r w:rsidR="009B0512" w:rsidRPr="00AF0432">
        <w:rPr>
          <w:rFonts w:ascii="Verdana" w:eastAsia="Times New Roman" w:hAnsi="Verdana" w:cs="Times New Roman"/>
          <w:bCs/>
          <w:sz w:val="24"/>
          <w:szCs w:val="24"/>
          <w:lang w:val="es-ES" w:eastAsia="es-ES"/>
        </w:rPr>
        <w:t xml:space="preserve">que incumplen con la presentación del informe y </w:t>
      </w:r>
      <w:r w:rsidRPr="00AF0432">
        <w:rPr>
          <w:rFonts w:ascii="Verdana" w:eastAsia="Times New Roman" w:hAnsi="Verdana" w:cs="Times New Roman"/>
          <w:bCs/>
          <w:sz w:val="24"/>
          <w:szCs w:val="24"/>
          <w:lang w:val="es-ES" w:eastAsia="es-ES"/>
        </w:rPr>
        <w:t xml:space="preserve">que conforman el Sistema Nacional de Archivos, con el fin de recordarles la obligación legal de </w:t>
      </w:r>
      <w:r w:rsidR="008D7AE6" w:rsidRPr="00AF0432">
        <w:rPr>
          <w:rFonts w:ascii="Verdana" w:eastAsia="Times New Roman" w:hAnsi="Verdana" w:cs="Times New Roman"/>
          <w:bCs/>
          <w:sz w:val="24"/>
          <w:szCs w:val="24"/>
          <w:lang w:val="es-ES" w:eastAsia="es-ES"/>
        </w:rPr>
        <w:t>remitir</w:t>
      </w:r>
      <w:r w:rsidRPr="00AF0432">
        <w:rPr>
          <w:rFonts w:ascii="Verdana" w:eastAsia="Times New Roman" w:hAnsi="Verdana" w:cs="Times New Roman"/>
          <w:bCs/>
          <w:sz w:val="24"/>
          <w:szCs w:val="24"/>
          <w:lang w:val="es-ES" w:eastAsia="es-ES"/>
        </w:rPr>
        <w:t xml:space="preserve"> el informe de desarrollo arch</w:t>
      </w:r>
      <w:r w:rsidR="008D7AE6" w:rsidRPr="00AF0432">
        <w:rPr>
          <w:rFonts w:ascii="Verdana" w:eastAsia="Times New Roman" w:hAnsi="Verdana" w:cs="Times New Roman"/>
          <w:bCs/>
          <w:sz w:val="24"/>
          <w:szCs w:val="24"/>
          <w:lang w:val="es-ES" w:eastAsia="es-ES"/>
        </w:rPr>
        <w:t xml:space="preserve">ivístico en el mes de marzo de </w:t>
      </w:r>
      <w:r w:rsidRPr="00AF0432">
        <w:rPr>
          <w:rFonts w:ascii="Verdana" w:eastAsia="Times New Roman" w:hAnsi="Verdana" w:cs="Times New Roman"/>
          <w:bCs/>
          <w:sz w:val="24"/>
          <w:szCs w:val="24"/>
          <w:lang w:val="es-ES" w:eastAsia="es-ES"/>
        </w:rPr>
        <w:t xml:space="preserve">cada año. </w:t>
      </w:r>
    </w:p>
    <w:p w14:paraId="0DB42508" w14:textId="77777777" w:rsidR="00544B07" w:rsidRDefault="00544B07" w:rsidP="00A215A9">
      <w:pPr>
        <w:spacing w:after="0" w:line="240" w:lineRule="auto"/>
        <w:ind w:left="708"/>
        <w:jc w:val="both"/>
        <w:rPr>
          <w:rFonts w:ascii="Verdana" w:eastAsia="Times New Roman" w:hAnsi="Verdana" w:cs="Times New Roman"/>
          <w:bCs/>
          <w:sz w:val="24"/>
          <w:szCs w:val="24"/>
          <w:lang w:val="es-ES" w:eastAsia="es-ES"/>
        </w:rPr>
      </w:pPr>
    </w:p>
    <w:p w14:paraId="06BC0A58" w14:textId="3A95D968" w:rsidR="006F3BA9" w:rsidRPr="006F3BA9" w:rsidRDefault="006F3BA9" w:rsidP="00A215A9">
      <w:pPr>
        <w:spacing w:after="0" w:line="240" w:lineRule="auto"/>
        <w:jc w:val="both"/>
        <w:rPr>
          <w:rFonts w:ascii="Verdana" w:eastAsia="Times New Roman" w:hAnsi="Verdana" w:cs="Times New Roman"/>
          <w:b/>
          <w:bCs/>
          <w:sz w:val="24"/>
          <w:szCs w:val="24"/>
          <w:lang w:val="es-ES" w:eastAsia="es-ES"/>
        </w:rPr>
      </w:pPr>
      <w:r w:rsidRPr="006F3BA9">
        <w:rPr>
          <w:rFonts w:ascii="Verdana" w:eastAsia="Times New Roman" w:hAnsi="Verdana" w:cs="Times New Roman"/>
          <w:b/>
          <w:bCs/>
          <w:sz w:val="24"/>
          <w:szCs w:val="24"/>
          <w:lang w:val="es-ES" w:eastAsia="es-ES"/>
        </w:rPr>
        <w:t>Recomendaciones al Jerarca</w:t>
      </w:r>
    </w:p>
    <w:p w14:paraId="52FD4E8A" w14:textId="77777777" w:rsidR="00544B07" w:rsidRDefault="00544B07" w:rsidP="00A215A9">
      <w:pPr>
        <w:spacing w:after="0" w:line="240" w:lineRule="auto"/>
        <w:ind w:left="708"/>
        <w:jc w:val="both"/>
        <w:rPr>
          <w:rFonts w:ascii="Verdana" w:eastAsia="Times New Roman" w:hAnsi="Verdana" w:cs="Times New Roman"/>
          <w:bCs/>
          <w:sz w:val="24"/>
          <w:szCs w:val="24"/>
          <w:lang w:val="es-ES" w:eastAsia="es-ES"/>
        </w:rPr>
      </w:pPr>
    </w:p>
    <w:p w14:paraId="613E7ED5" w14:textId="32DCAA56" w:rsidR="006F3BA9" w:rsidRDefault="006F3BA9" w:rsidP="00A215A9">
      <w:pPr>
        <w:numPr>
          <w:ilvl w:val="0"/>
          <w:numId w:val="47"/>
        </w:numPr>
        <w:spacing w:after="0" w:line="240" w:lineRule="auto"/>
        <w:jc w:val="both"/>
        <w:rPr>
          <w:rFonts w:ascii="Verdana" w:eastAsia="Times New Roman" w:hAnsi="Verdana" w:cs="Times New Roman"/>
          <w:bCs/>
          <w:sz w:val="24"/>
          <w:szCs w:val="24"/>
          <w:lang w:val="es-ES" w:eastAsia="es-ES"/>
        </w:rPr>
      </w:pPr>
      <w:r w:rsidRPr="006F3BA9">
        <w:rPr>
          <w:rFonts w:ascii="Verdana" w:eastAsia="Times New Roman" w:hAnsi="Verdana" w:cs="Times New Roman"/>
          <w:bCs/>
          <w:sz w:val="24"/>
          <w:szCs w:val="24"/>
          <w:lang w:val="es-ES" w:eastAsia="es-ES"/>
        </w:rPr>
        <w:t xml:space="preserve">Dotar </w:t>
      </w:r>
      <w:r>
        <w:rPr>
          <w:rFonts w:ascii="Verdana" w:eastAsia="Times New Roman" w:hAnsi="Verdana" w:cs="Times New Roman"/>
          <w:bCs/>
          <w:sz w:val="24"/>
          <w:szCs w:val="24"/>
          <w:lang w:val="es-ES" w:eastAsia="es-ES"/>
        </w:rPr>
        <w:t xml:space="preserve">al Archivo Central </w:t>
      </w:r>
      <w:r w:rsidRPr="006F3BA9">
        <w:rPr>
          <w:rFonts w:ascii="Verdana" w:eastAsia="Times New Roman" w:hAnsi="Verdana" w:cs="Times New Roman"/>
          <w:bCs/>
          <w:sz w:val="24"/>
          <w:szCs w:val="24"/>
          <w:lang w:val="es-ES" w:eastAsia="es-ES"/>
        </w:rPr>
        <w:t xml:space="preserve">de un local que cumpla con los requisitos mínimos que </w:t>
      </w:r>
      <w:r>
        <w:rPr>
          <w:rFonts w:ascii="Verdana" w:eastAsia="Times New Roman" w:hAnsi="Verdana" w:cs="Times New Roman"/>
          <w:bCs/>
          <w:sz w:val="24"/>
          <w:szCs w:val="24"/>
          <w:lang w:val="es-ES" w:eastAsia="es-ES"/>
        </w:rPr>
        <w:t xml:space="preserve">establece el artículo No. 71 del </w:t>
      </w:r>
      <w:r w:rsidRPr="006F3BA9">
        <w:rPr>
          <w:rFonts w:ascii="Verdana" w:eastAsia="Times New Roman" w:hAnsi="Verdana" w:cs="Times New Roman"/>
          <w:bCs/>
          <w:sz w:val="24"/>
          <w:szCs w:val="24"/>
          <w:lang w:val="es-ES" w:eastAsia="es-ES"/>
        </w:rPr>
        <w:t xml:space="preserve">Reglamento a la Ley </w:t>
      </w:r>
      <w:r>
        <w:rPr>
          <w:rFonts w:ascii="Verdana" w:eastAsia="Times New Roman" w:hAnsi="Verdana" w:cs="Times New Roman"/>
          <w:bCs/>
          <w:sz w:val="24"/>
          <w:szCs w:val="24"/>
          <w:lang w:val="es-ES" w:eastAsia="es-ES"/>
        </w:rPr>
        <w:t xml:space="preserve">No. </w:t>
      </w:r>
      <w:r w:rsidRPr="006F3BA9">
        <w:rPr>
          <w:rFonts w:ascii="Verdana" w:eastAsia="Times New Roman" w:hAnsi="Verdana" w:cs="Times New Roman"/>
          <w:bCs/>
          <w:sz w:val="24"/>
          <w:szCs w:val="24"/>
          <w:lang w:val="es-ES" w:eastAsia="es-ES"/>
        </w:rPr>
        <w:t>7202</w:t>
      </w:r>
      <w:r>
        <w:rPr>
          <w:rFonts w:ascii="Verdana" w:eastAsia="Times New Roman" w:hAnsi="Verdana" w:cs="Times New Roman"/>
          <w:bCs/>
          <w:sz w:val="24"/>
          <w:szCs w:val="24"/>
          <w:lang w:val="es-ES" w:eastAsia="es-ES"/>
        </w:rPr>
        <w:t xml:space="preserve"> del Sistema Nacional de Archivos</w:t>
      </w:r>
      <w:r w:rsidRPr="006F3BA9">
        <w:rPr>
          <w:rFonts w:ascii="Verdana" w:eastAsia="Times New Roman" w:hAnsi="Verdana" w:cs="Times New Roman"/>
          <w:bCs/>
          <w:sz w:val="24"/>
          <w:szCs w:val="24"/>
          <w:lang w:val="es-ES" w:eastAsia="es-ES"/>
        </w:rPr>
        <w:t>.</w:t>
      </w:r>
    </w:p>
    <w:p w14:paraId="4250EBC2" w14:textId="77777777" w:rsidR="006D1B23" w:rsidRPr="006F3BA9" w:rsidRDefault="006D1B23" w:rsidP="00A215A9">
      <w:pPr>
        <w:spacing w:after="0" w:line="240" w:lineRule="auto"/>
        <w:ind w:left="720"/>
        <w:jc w:val="both"/>
        <w:rPr>
          <w:rFonts w:ascii="Verdana" w:eastAsia="Times New Roman" w:hAnsi="Verdana" w:cs="Times New Roman"/>
          <w:bCs/>
          <w:sz w:val="24"/>
          <w:szCs w:val="24"/>
          <w:lang w:val="es-ES" w:eastAsia="es-ES"/>
        </w:rPr>
      </w:pPr>
    </w:p>
    <w:p w14:paraId="3594976F" w14:textId="62B9D107" w:rsidR="006F3BA9" w:rsidRDefault="006F3BA9" w:rsidP="00A215A9">
      <w:pPr>
        <w:numPr>
          <w:ilvl w:val="0"/>
          <w:numId w:val="47"/>
        </w:numPr>
        <w:spacing w:after="0" w:line="240" w:lineRule="auto"/>
        <w:jc w:val="both"/>
        <w:rPr>
          <w:rFonts w:ascii="Verdana" w:eastAsia="Times New Roman" w:hAnsi="Verdana" w:cs="Times New Roman"/>
          <w:bCs/>
          <w:sz w:val="24"/>
          <w:szCs w:val="24"/>
          <w:lang w:val="es-ES" w:eastAsia="es-ES"/>
        </w:rPr>
      </w:pPr>
      <w:r w:rsidRPr="006F3BA9">
        <w:rPr>
          <w:rFonts w:ascii="Verdana" w:eastAsia="Times New Roman" w:hAnsi="Verdana" w:cs="Times New Roman"/>
          <w:bCs/>
          <w:sz w:val="24"/>
          <w:szCs w:val="24"/>
          <w:lang w:val="es-ES" w:eastAsia="es-ES"/>
        </w:rPr>
        <w:t xml:space="preserve">Dotar </w:t>
      </w:r>
      <w:r w:rsidR="006D1B23">
        <w:rPr>
          <w:rFonts w:ascii="Verdana" w:eastAsia="Times New Roman" w:hAnsi="Verdana" w:cs="Times New Roman"/>
          <w:bCs/>
          <w:sz w:val="24"/>
          <w:szCs w:val="24"/>
          <w:lang w:val="es-ES" w:eastAsia="es-ES"/>
        </w:rPr>
        <w:t xml:space="preserve">al Archivo Central </w:t>
      </w:r>
      <w:r w:rsidRPr="006F3BA9">
        <w:rPr>
          <w:rFonts w:ascii="Verdana" w:eastAsia="Times New Roman" w:hAnsi="Verdana" w:cs="Times New Roman"/>
          <w:bCs/>
          <w:sz w:val="24"/>
          <w:szCs w:val="24"/>
          <w:lang w:val="es-ES" w:eastAsia="es-ES"/>
        </w:rPr>
        <w:t xml:space="preserve">del recurso humano necesario para que se cumplan </w:t>
      </w:r>
      <w:r w:rsidR="006D1B23" w:rsidRPr="006F3BA9">
        <w:rPr>
          <w:rFonts w:ascii="Verdana" w:eastAsia="Times New Roman" w:hAnsi="Verdana" w:cs="Times New Roman"/>
          <w:bCs/>
          <w:sz w:val="24"/>
          <w:szCs w:val="24"/>
          <w:lang w:val="es-ES" w:eastAsia="es-ES"/>
        </w:rPr>
        <w:t xml:space="preserve">a cabalidad </w:t>
      </w:r>
      <w:r w:rsidRPr="006F3BA9">
        <w:rPr>
          <w:rFonts w:ascii="Verdana" w:eastAsia="Times New Roman" w:hAnsi="Verdana" w:cs="Times New Roman"/>
          <w:bCs/>
          <w:sz w:val="24"/>
          <w:szCs w:val="24"/>
          <w:lang w:val="es-ES" w:eastAsia="es-ES"/>
        </w:rPr>
        <w:t xml:space="preserve">todas las funciones que dicta la </w:t>
      </w:r>
      <w:r w:rsidR="006D1B23">
        <w:rPr>
          <w:rFonts w:ascii="Verdana" w:eastAsia="Times New Roman" w:hAnsi="Verdana" w:cs="Times New Roman"/>
          <w:bCs/>
          <w:sz w:val="24"/>
          <w:szCs w:val="24"/>
          <w:lang w:val="es-ES" w:eastAsia="es-ES"/>
        </w:rPr>
        <w:t>L</w:t>
      </w:r>
      <w:r w:rsidRPr="006F3BA9">
        <w:rPr>
          <w:rFonts w:ascii="Verdana" w:eastAsia="Times New Roman" w:hAnsi="Verdana" w:cs="Times New Roman"/>
          <w:bCs/>
          <w:sz w:val="24"/>
          <w:szCs w:val="24"/>
          <w:lang w:val="es-ES" w:eastAsia="es-ES"/>
        </w:rPr>
        <w:t xml:space="preserve">ey </w:t>
      </w:r>
      <w:r w:rsidR="006D1B23">
        <w:rPr>
          <w:rFonts w:ascii="Verdana" w:eastAsia="Times New Roman" w:hAnsi="Verdana" w:cs="Times New Roman"/>
          <w:bCs/>
          <w:sz w:val="24"/>
          <w:szCs w:val="24"/>
          <w:lang w:val="es-ES" w:eastAsia="es-ES"/>
        </w:rPr>
        <w:t xml:space="preserve">No. </w:t>
      </w:r>
      <w:r w:rsidR="006D1B23" w:rsidRPr="006F3BA9">
        <w:rPr>
          <w:rFonts w:ascii="Verdana" w:eastAsia="Times New Roman" w:hAnsi="Verdana" w:cs="Times New Roman"/>
          <w:bCs/>
          <w:sz w:val="24"/>
          <w:szCs w:val="24"/>
          <w:lang w:val="es-ES" w:eastAsia="es-ES"/>
        </w:rPr>
        <w:t>7202</w:t>
      </w:r>
      <w:r w:rsidR="006D1B23">
        <w:rPr>
          <w:rFonts w:ascii="Verdana" w:eastAsia="Times New Roman" w:hAnsi="Verdana" w:cs="Times New Roman"/>
          <w:bCs/>
          <w:sz w:val="24"/>
          <w:szCs w:val="24"/>
          <w:lang w:val="es-ES" w:eastAsia="es-ES"/>
        </w:rPr>
        <w:t xml:space="preserve"> del Sistema Nacional de Archivos,</w:t>
      </w:r>
      <w:r w:rsidR="006D1B23" w:rsidRPr="006F3BA9">
        <w:rPr>
          <w:rFonts w:ascii="Verdana" w:eastAsia="Times New Roman" w:hAnsi="Verdana" w:cs="Times New Roman"/>
          <w:bCs/>
          <w:sz w:val="24"/>
          <w:szCs w:val="24"/>
          <w:lang w:val="es-ES" w:eastAsia="es-ES"/>
        </w:rPr>
        <w:t xml:space="preserve"> </w:t>
      </w:r>
      <w:r w:rsidRPr="006F3BA9">
        <w:rPr>
          <w:rFonts w:ascii="Verdana" w:eastAsia="Times New Roman" w:hAnsi="Verdana" w:cs="Times New Roman"/>
          <w:bCs/>
          <w:sz w:val="24"/>
          <w:szCs w:val="24"/>
          <w:lang w:val="es-ES" w:eastAsia="es-ES"/>
        </w:rPr>
        <w:t>mediante un estudio de carga</w:t>
      </w:r>
      <w:r w:rsidR="006D1B23">
        <w:rPr>
          <w:rFonts w:ascii="Verdana" w:eastAsia="Times New Roman" w:hAnsi="Verdana" w:cs="Times New Roman"/>
          <w:bCs/>
          <w:sz w:val="24"/>
          <w:szCs w:val="24"/>
          <w:lang w:val="es-ES" w:eastAsia="es-ES"/>
        </w:rPr>
        <w:t>s</w:t>
      </w:r>
      <w:r w:rsidRPr="006F3BA9">
        <w:rPr>
          <w:rFonts w:ascii="Verdana" w:eastAsia="Times New Roman" w:hAnsi="Verdana" w:cs="Times New Roman"/>
          <w:bCs/>
          <w:sz w:val="24"/>
          <w:szCs w:val="24"/>
          <w:lang w:val="es-ES" w:eastAsia="es-ES"/>
        </w:rPr>
        <w:t xml:space="preserve"> de trabajo.</w:t>
      </w:r>
    </w:p>
    <w:p w14:paraId="553B216B" w14:textId="77777777" w:rsidR="006D1B23" w:rsidRDefault="006D1B23" w:rsidP="00A215A9">
      <w:pPr>
        <w:pStyle w:val="Prrafodelista"/>
        <w:jc w:val="both"/>
        <w:rPr>
          <w:rFonts w:ascii="Verdana" w:hAnsi="Verdana"/>
          <w:bCs/>
        </w:rPr>
      </w:pPr>
    </w:p>
    <w:p w14:paraId="20823FF0" w14:textId="6EAD8569" w:rsidR="006F3BA9" w:rsidRDefault="006F3BA9" w:rsidP="00A215A9">
      <w:pPr>
        <w:numPr>
          <w:ilvl w:val="0"/>
          <w:numId w:val="47"/>
        </w:numPr>
        <w:spacing w:after="0" w:line="240" w:lineRule="auto"/>
        <w:jc w:val="both"/>
        <w:rPr>
          <w:rFonts w:ascii="Verdana" w:eastAsia="Times New Roman" w:hAnsi="Verdana" w:cs="Times New Roman"/>
          <w:bCs/>
          <w:sz w:val="24"/>
          <w:szCs w:val="24"/>
          <w:lang w:val="es-ES" w:eastAsia="es-ES"/>
        </w:rPr>
      </w:pPr>
      <w:r w:rsidRPr="006F3BA9">
        <w:rPr>
          <w:rFonts w:ascii="Verdana" w:eastAsia="Times New Roman" w:hAnsi="Verdana" w:cs="Times New Roman"/>
          <w:bCs/>
          <w:sz w:val="24"/>
          <w:szCs w:val="24"/>
          <w:lang w:val="es-ES" w:eastAsia="es-ES"/>
        </w:rPr>
        <w:t xml:space="preserve">Dotar </w:t>
      </w:r>
      <w:r w:rsidR="006D1B23">
        <w:rPr>
          <w:rFonts w:ascii="Verdana" w:eastAsia="Times New Roman" w:hAnsi="Verdana" w:cs="Times New Roman"/>
          <w:bCs/>
          <w:sz w:val="24"/>
          <w:szCs w:val="24"/>
          <w:lang w:val="es-ES" w:eastAsia="es-ES"/>
        </w:rPr>
        <w:t xml:space="preserve">al Archivo Central </w:t>
      </w:r>
      <w:r w:rsidRPr="006F3BA9">
        <w:rPr>
          <w:rFonts w:ascii="Verdana" w:eastAsia="Times New Roman" w:hAnsi="Verdana" w:cs="Times New Roman"/>
          <w:bCs/>
          <w:sz w:val="24"/>
          <w:szCs w:val="24"/>
          <w:lang w:val="es-ES" w:eastAsia="es-ES"/>
        </w:rPr>
        <w:t>de equipo informático, capacitación en nuevas tecnologías, equipo mobiliario, materiales de of</w:t>
      </w:r>
      <w:r w:rsidR="00A215A9">
        <w:rPr>
          <w:rFonts w:ascii="Verdana" w:eastAsia="Times New Roman" w:hAnsi="Verdana" w:cs="Times New Roman"/>
          <w:bCs/>
          <w:sz w:val="24"/>
          <w:szCs w:val="24"/>
          <w:lang w:val="es-ES" w:eastAsia="es-ES"/>
        </w:rPr>
        <w:t>icina, cajas</w:t>
      </w:r>
      <w:r w:rsidR="006D1B23">
        <w:rPr>
          <w:rFonts w:ascii="Verdana" w:eastAsia="Times New Roman" w:hAnsi="Verdana" w:cs="Times New Roman"/>
          <w:bCs/>
          <w:sz w:val="24"/>
          <w:szCs w:val="24"/>
          <w:lang w:val="es-ES" w:eastAsia="es-ES"/>
        </w:rPr>
        <w:t xml:space="preserve"> libre</w:t>
      </w:r>
      <w:r w:rsidR="00A215A9">
        <w:rPr>
          <w:rFonts w:ascii="Verdana" w:eastAsia="Times New Roman" w:hAnsi="Verdana" w:cs="Times New Roman"/>
          <w:bCs/>
          <w:sz w:val="24"/>
          <w:szCs w:val="24"/>
          <w:lang w:val="es-ES" w:eastAsia="es-ES"/>
        </w:rPr>
        <w:t>s</w:t>
      </w:r>
      <w:r w:rsidR="006D1B23">
        <w:rPr>
          <w:rFonts w:ascii="Verdana" w:eastAsia="Times New Roman" w:hAnsi="Verdana" w:cs="Times New Roman"/>
          <w:bCs/>
          <w:sz w:val="24"/>
          <w:szCs w:val="24"/>
          <w:lang w:val="es-ES" w:eastAsia="es-ES"/>
        </w:rPr>
        <w:t xml:space="preserve"> de acidez </w:t>
      </w:r>
      <w:r w:rsidRPr="006F3BA9">
        <w:rPr>
          <w:rFonts w:ascii="Verdana" w:eastAsia="Times New Roman" w:hAnsi="Verdana" w:cs="Times New Roman"/>
          <w:bCs/>
          <w:sz w:val="24"/>
          <w:szCs w:val="24"/>
          <w:lang w:val="es-ES" w:eastAsia="es-ES"/>
        </w:rPr>
        <w:t>para la conservación de los documentos</w:t>
      </w:r>
      <w:r w:rsidR="006D1B23">
        <w:rPr>
          <w:rFonts w:ascii="Verdana" w:eastAsia="Times New Roman" w:hAnsi="Verdana" w:cs="Times New Roman"/>
          <w:bCs/>
          <w:sz w:val="24"/>
          <w:szCs w:val="24"/>
          <w:lang w:val="es-ES" w:eastAsia="es-ES"/>
        </w:rPr>
        <w:t>;</w:t>
      </w:r>
      <w:r w:rsidRPr="006F3BA9">
        <w:rPr>
          <w:rFonts w:ascii="Verdana" w:eastAsia="Times New Roman" w:hAnsi="Verdana" w:cs="Times New Roman"/>
          <w:bCs/>
          <w:sz w:val="24"/>
          <w:szCs w:val="24"/>
          <w:lang w:val="es-ES" w:eastAsia="es-ES"/>
        </w:rPr>
        <w:t xml:space="preserve"> y todo lo necesario para que </w:t>
      </w:r>
      <w:r w:rsidR="006D1B23">
        <w:rPr>
          <w:rFonts w:ascii="Verdana" w:eastAsia="Times New Roman" w:hAnsi="Verdana" w:cs="Times New Roman"/>
          <w:bCs/>
          <w:sz w:val="24"/>
          <w:szCs w:val="24"/>
          <w:lang w:val="es-ES" w:eastAsia="es-ES"/>
        </w:rPr>
        <w:t xml:space="preserve">se </w:t>
      </w:r>
      <w:r w:rsidRPr="006F3BA9">
        <w:rPr>
          <w:rFonts w:ascii="Verdana" w:eastAsia="Times New Roman" w:hAnsi="Verdana" w:cs="Times New Roman"/>
          <w:bCs/>
          <w:sz w:val="24"/>
          <w:szCs w:val="24"/>
          <w:lang w:val="es-ES" w:eastAsia="es-ES"/>
        </w:rPr>
        <w:t xml:space="preserve">ejecuten las funciones </w:t>
      </w:r>
      <w:r w:rsidR="006D1B23">
        <w:rPr>
          <w:rFonts w:ascii="Verdana" w:eastAsia="Times New Roman" w:hAnsi="Verdana" w:cs="Times New Roman"/>
          <w:bCs/>
          <w:sz w:val="24"/>
          <w:szCs w:val="24"/>
          <w:lang w:val="es-ES" w:eastAsia="es-ES"/>
        </w:rPr>
        <w:t>establecidas en</w:t>
      </w:r>
      <w:r w:rsidRPr="006F3BA9">
        <w:rPr>
          <w:rFonts w:ascii="Verdana" w:eastAsia="Times New Roman" w:hAnsi="Verdana" w:cs="Times New Roman"/>
          <w:bCs/>
          <w:sz w:val="24"/>
          <w:szCs w:val="24"/>
          <w:lang w:val="es-ES" w:eastAsia="es-ES"/>
        </w:rPr>
        <w:t xml:space="preserve"> la </w:t>
      </w:r>
      <w:r w:rsidR="006D1B23">
        <w:rPr>
          <w:rFonts w:ascii="Verdana" w:eastAsia="Times New Roman" w:hAnsi="Verdana" w:cs="Times New Roman"/>
          <w:bCs/>
          <w:sz w:val="24"/>
          <w:szCs w:val="24"/>
          <w:lang w:val="es-ES" w:eastAsia="es-ES"/>
        </w:rPr>
        <w:t>L</w:t>
      </w:r>
      <w:r w:rsidR="006D1B23" w:rsidRPr="006F3BA9">
        <w:rPr>
          <w:rFonts w:ascii="Verdana" w:eastAsia="Times New Roman" w:hAnsi="Verdana" w:cs="Times New Roman"/>
          <w:bCs/>
          <w:sz w:val="24"/>
          <w:szCs w:val="24"/>
          <w:lang w:val="es-ES" w:eastAsia="es-ES"/>
        </w:rPr>
        <w:t xml:space="preserve">ey </w:t>
      </w:r>
      <w:r w:rsidR="006D1B23">
        <w:rPr>
          <w:rFonts w:ascii="Verdana" w:eastAsia="Times New Roman" w:hAnsi="Verdana" w:cs="Times New Roman"/>
          <w:bCs/>
          <w:sz w:val="24"/>
          <w:szCs w:val="24"/>
          <w:lang w:val="es-ES" w:eastAsia="es-ES"/>
        </w:rPr>
        <w:t xml:space="preserve">No. </w:t>
      </w:r>
      <w:r w:rsidR="006D1B23" w:rsidRPr="006F3BA9">
        <w:rPr>
          <w:rFonts w:ascii="Verdana" w:eastAsia="Times New Roman" w:hAnsi="Verdana" w:cs="Times New Roman"/>
          <w:bCs/>
          <w:sz w:val="24"/>
          <w:szCs w:val="24"/>
          <w:lang w:val="es-ES" w:eastAsia="es-ES"/>
        </w:rPr>
        <w:t>7202</w:t>
      </w:r>
      <w:r w:rsidR="006D1B23">
        <w:rPr>
          <w:rFonts w:ascii="Verdana" w:eastAsia="Times New Roman" w:hAnsi="Verdana" w:cs="Times New Roman"/>
          <w:bCs/>
          <w:sz w:val="24"/>
          <w:szCs w:val="24"/>
          <w:lang w:val="es-ES" w:eastAsia="es-ES"/>
        </w:rPr>
        <w:t xml:space="preserve"> del Sistema Nacional de Archivos</w:t>
      </w:r>
      <w:r w:rsidRPr="006F3BA9">
        <w:rPr>
          <w:rFonts w:ascii="Verdana" w:eastAsia="Times New Roman" w:hAnsi="Verdana" w:cs="Times New Roman"/>
          <w:bCs/>
          <w:sz w:val="24"/>
          <w:szCs w:val="24"/>
          <w:lang w:val="es-ES" w:eastAsia="es-ES"/>
        </w:rPr>
        <w:t>.</w:t>
      </w:r>
    </w:p>
    <w:p w14:paraId="23BFEE48" w14:textId="77777777" w:rsidR="006D1B23" w:rsidRDefault="006D1B23" w:rsidP="00A215A9">
      <w:pPr>
        <w:spacing w:after="0" w:line="240" w:lineRule="auto"/>
        <w:ind w:left="720"/>
        <w:jc w:val="both"/>
        <w:rPr>
          <w:rFonts w:ascii="Verdana" w:eastAsia="Times New Roman" w:hAnsi="Verdana" w:cs="Times New Roman"/>
          <w:bCs/>
          <w:sz w:val="24"/>
          <w:szCs w:val="24"/>
          <w:lang w:val="es-ES" w:eastAsia="es-ES"/>
        </w:rPr>
      </w:pPr>
    </w:p>
    <w:p w14:paraId="1A01D28D" w14:textId="7AB854B4" w:rsidR="006D1B23" w:rsidRDefault="006D1B23" w:rsidP="00A215A9">
      <w:pPr>
        <w:numPr>
          <w:ilvl w:val="0"/>
          <w:numId w:val="47"/>
        </w:numPr>
        <w:spacing w:after="0" w:line="240" w:lineRule="auto"/>
        <w:jc w:val="both"/>
        <w:rPr>
          <w:rFonts w:ascii="Verdana" w:eastAsia="Times New Roman" w:hAnsi="Verdana" w:cs="Times New Roman"/>
          <w:bCs/>
          <w:sz w:val="24"/>
          <w:szCs w:val="24"/>
          <w:lang w:val="es-ES" w:eastAsia="es-ES"/>
        </w:rPr>
      </w:pPr>
      <w:r>
        <w:rPr>
          <w:rFonts w:ascii="Verdana" w:eastAsia="Times New Roman" w:hAnsi="Verdana" w:cs="Times New Roman"/>
          <w:bCs/>
          <w:sz w:val="24"/>
          <w:szCs w:val="24"/>
          <w:lang w:val="es-ES" w:eastAsia="es-ES"/>
        </w:rPr>
        <w:t>Emitir los proced</w:t>
      </w:r>
      <w:r w:rsidR="00A215A9">
        <w:rPr>
          <w:rFonts w:ascii="Verdana" w:eastAsia="Times New Roman" w:hAnsi="Verdana" w:cs="Times New Roman"/>
          <w:bCs/>
          <w:sz w:val="24"/>
          <w:szCs w:val="24"/>
          <w:lang w:val="es-ES" w:eastAsia="es-ES"/>
        </w:rPr>
        <w:t>imientos</w:t>
      </w:r>
      <w:r w:rsidR="008115C0">
        <w:rPr>
          <w:rFonts w:ascii="Verdana" w:eastAsia="Times New Roman" w:hAnsi="Verdana" w:cs="Times New Roman"/>
          <w:bCs/>
          <w:sz w:val="24"/>
          <w:szCs w:val="24"/>
          <w:lang w:val="es-ES" w:eastAsia="es-ES"/>
        </w:rPr>
        <w:t>, políticas, normas y directrices</w:t>
      </w:r>
      <w:r w:rsidR="00A215A9">
        <w:rPr>
          <w:rFonts w:ascii="Verdana" w:eastAsia="Times New Roman" w:hAnsi="Verdana" w:cs="Times New Roman"/>
          <w:bCs/>
          <w:sz w:val="24"/>
          <w:szCs w:val="24"/>
          <w:lang w:val="es-ES" w:eastAsia="es-ES"/>
        </w:rPr>
        <w:t xml:space="preserve"> </w:t>
      </w:r>
      <w:r w:rsidR="008115C0">
        <w:rPr>
          <w:rFonts w:ascii="Verdana" w:eastAsia="Times New Roman" w:hAnsi="Verdana" w:cs="Times New Roman"/>
          <w:bCs/>
          <w:sz w:val="24"/>
          <w:szCs w:val="24"/>
          <w:lang w:val="es-ES" w:eastAsia="es-ES"/>
        </w:rPr>
        <w:t xml:space="preserve">relacionados con la gestión documental de la institución </w:t>
      </w:r>
      <w:r w:rsidR="00A215A9">
        <w:rPr>
          <w:rFonts w:ascii="Verdana" w:eastAsia="Times New Roman" w:hAnsi="Verdana" w:cs="Times New Roman"/>
          <w:bCs/>
          <w:sz w:val="24"/>
          <w:szCs w:val="24"/>
          <w:lang w:val="es-ES" w:eastAsia="es-ES"/>
        </w:rPr>
        <w:t>que debe</w:t>
      </w:r>
      <w:r w:rsidR="008115C0">
        <w:rPr>
          <w:rFonts w:ascii="Verdana" w:eastAsia="Times New Roman" w:hAnsi="Verdana" w:cs="Times New Roman"/>
          <w:bCs/>
          <w:sz w:val="24"/>
          <w:szCs w:val="24"/>
          <w:lang w:val="es-ES" w:eastAsia="es-ES"/>
        </w:rPr>
        <w:t>n</w:t>
      </w:r>
      <w:r>
        <w:rPr>
          <w:rFonts w:ascii="Verdana" w:eastAsia="Times New Roman" w:hAnsi="Verdana" w:cs="Times New Roman"/>
          <w:bCs/>
          <w:sz w:val="24"/>
          <w:szCs w:val="24"/>
          <w:lang w:val="es-ES" w:eastAsia="es-ES"/>
        </w:rPr>
        <w:t xml:space="preserve"> cumplir </w:t>
      </w:r>
      <w:r w:rsidR="00A215A9">
        <w:rPr>
          <w:rFonts w:ascii="Verdana" w:eastAsia="Times New Roman" w:hAnsi="Verdana" w:cs="Times New Roman"/>
          <w:bCs/>
          <w:sz w:val="24"/>
          <w:szCs w:val="24"/>
          <w:lang w:val="es-ES" w:eastAsia="es-ES"/>
        </w:rPr>
        <w:t xml:space="preserve">el archivo central y </w:t>
      </w:r>
      <w:r>
        <w:rPr>
          <w:rFonts w:ascii="Verdana" w:eastAsia="Times New Roman" w:hAnsi="Verdana" w:cs="Times New Roman"/>
          <w:bCs/>
          <w:sz w:val="24"/>
          <w:szCs w:val="24"/>
          <w:lang w:val="es-ES" w:eastAsia="es-ES"/>
        </w:rPr>
        <w:t>los archivos de gestión.</w:t>
      </w:r>
    </w:p>
    <w:p w14:paraId="6E785E27" w14:textId="77777777" w:rsidR="006D1B23" w:rsidRDefault="006D1B23" w:rsidP="00A215A9">
      <w:pPr>
        <w:pStyle w:val="Prrafodelista"/>
        <w:jc w:val="both"/>
        <w:rPr>
          <w:rFonts w:ascii="Verdana" w:hAnsi="Verdana"/>
          <w:bCs/>
        </w:rPr>
      </w:pPr>
    </w:p>
    <w:p w14:paraId="5531FC49" w14:textId="257F9155" w:rsidR="004E5591" w:rsidRPr="006F3BA9" w:rsidRDefault="004E5591" w:rsidP="00A215A9">
      <w:pPr>
        <w:spacing w:after="0" w:line="240" w:lineRule="auto"/>
        <w:jc w:val="both"/>
        <w:rPr>
          <w:rFonts w:ascii="Verdana" w:eastAsia="Times New Roman" w:hAnsi="Verdana" w:cs="Times New Roman"/>
          <w:b/>
          <w:bCs/>
          <w:sz w:val="24"/>
          <w:szCs w:val="24"/>
          <w:lang w:val="es-ES" w:eastAsia="es-ES"/>
        </w:rPr>
      </w:pPr>
      <w:r w:rsidRPr="006F3BA9">
        <w:rPr>
          <w:rFonts w:ascii="Verdana" w:eastAsia="Times New Roman" w:hAnsi="Verdana" w:cs="Times New Roman"/>
          <w:b/>
          <w:bCs/>
          <w:sz w:val="24"/>
          <w:szCs w:val="24"/>
          <w:lang w:val="es-ES" w:eastAsia="es-ES"/>
        </w:rPr>
        <w:t xml:space="preserve">Recomendaciones al </w:t>
      </w:r>
      <w:r>
        <w:rPr>
          <w:rFonts w:ascii="Verdana" w:eastAsia="Times New Roman" w:hAnsi="Verdana" w:cs="Times New Roman"/>
          <w:b/>
          <w:bCs/>
          <w:sz w:val="24"/>
          <w:szCs w:val="24"/>
          <w:lang w:val="es-ES" w:eastAsia="es-ES"/>
        </w:rPr>
        <w:t>Jefe o Encargado del Archivo Central</w:t>
      </w:r>
    </w:p>
    <w:p w14:paraId="6A46BF42" w14:textId="77777777" w:rsidR="006F3BA9" w:rsidRDefault="006F3BA9" w:rsidP="00A215A9">
      <w:pPr>
        <w:pStyle w:val="Prrafodelista"/>
        <w:jc w:val="both"/>
        <w:rPr>
          <w:rFonts w:ascii="Verdana" w:hAnsi="Verdana"/>
          <w:bCs/>
        </w:rPr>
      </w:pPr>
    </w:p>
    <w:p w14:paraId="2EC09945" w14:textId="5F6AA6C8" w:rsidR="002027D4" w:rsidRDefault="002027D4" w:rsidP="00A215A9">
      <w:pPr>
        <w:pStyle w:val="Prrafodelista"/>
        <w:numPr>
          <w:ilvl w:val="0"/>
          <w:numId w:val="49"/>
        </w:numPr>
        <w:ind w:left="1068"/>
        <w:jc w:val="both"/>
        <w:rPr>
          <w:rFonts w:ascii="Verdana" w:hAnsi="Verdana"/>
          <w:bCs/>
        </w:rPr>
      </w:pPr>
      <w:r w:rsidRPr="004C0601">
        <w:rPr>
          <w:rFonts w:ascii="Verdana" w:hAnsi="Verdana"/>
          <w:bCs/>
        </w:rPr>
        <w:t xml:space="preserve">Elaborar los manuales de procedimientos </w:t>
      </w:r>
      <w:r w:rsidR="002F2F13">
        <w:rPr>
          <w:rFonts w:ascii="Verdana" w:hAnsi="Verdana"/>
          <w:bCs/>
        </w:rPr>
        <w:t>del Archivo Central y de los archivos de gestión</w:t>
      </w:r>
      <w:r w:rsidR="008115C0">
        <w:rPr>
          <w:rFonts w:ascii="Verdana" w:hAnsi="Verdana"/>
          <w:bCs/>
        </w:rPr>
        <w:t>, las políticas, normas y directrices relacionados con la gestión documental de la institución y someterlas a aprobación del jerarca</w:t>
      </w:r>
      <w:r w:rsidR="002F2F13">
        <w:rPr>
          <w:rFonts w:ascii="Verdana" w:hAnsi="Verdana"/>
          <w:bCs/>
        </w:rPr>
        <w:t>.</w:t>
      </w:r>
    </w:p>
    <w:p w14:paraId="4F1C72C3" w14:textId="77777777" w:rsidR="008115C0" w:rsidRDefault="008115C0" w:rsidP="008115C0">
      <w:pPr>
        <w:pStyle w:val="Prrafodelista"/>
        <w:ind w:left="1068"/>
        <w:jc w:val="both"/>
        <w:rPr>
          <w:rFonts w:ascii="Verdana" w:hAnsi="Verdana"/>
          <w:bCs/>
        </w:rPr>
      </w:pPr>
    </w:p>
    <w:p w14:paraId="198D2931" w14:textId="2FC26153" w:rsidR="008115C0" w:rsidRDefault="008115C0" w:rsidP="00A215A9">
      <w:pPr>
        <w:pStyle w:val="Prrafodelista"/>
        <w:numPr>
          <w:ilvl w:val="0"/>
          <w:numId w:val="49"/>
        </w:numPr>
        <w:ind w:left="1068"/>
        <w:jc w:val="both"/>
        <w:rPr>
          <w:rFonts w:ascii="Verdana" w:hAnsi="Verdana"/>
          <w:bCs/>
        </w:rPr>
      </w:pPr>
      <w:r>
        <w:rPr>
          <w:rFonts w:ascii="Verdana" w:hAnsi="Verdana"/>
          <w:bCs/>
        </w:rPr>
        <w:t>Velar por la implementación de los procedimientos, políticas, normas y directrices relacionadas con la gestión documental de la institución en el Sistema Institucional Archivístico.</w:t>
      </w:r>
    </w:p>
    <w:p w14:paraId="32FF13DE" w14:textId="77777777" w:rsidR="00106136" w:rsidRPr="004C0601" w:rsidRDefault="00106136" w:rsidP="00A215A9">
      <w:pPr>
        <w:pStyle w:val="Prrafodelista"/>
        <w:ind w:left="348"/>
        <w:jc w:val="both"/>
        <w:rPr>
          <w:rFonts w:ascii="Verdana" w:hAnsi="Verdana"/>
          <w:bCs/>
        </w:rPr>
      </w:pPr>
    </w:p>
    <w:p w14:paraId="2DC4C53C" w14:textId="7100A1D8" w:rsidR="002027D4" w:rsidRPr="00106136" w:rsidRDefault="0018739E" w:rsidP="00A215A9">
      <w:pPr>
        <w:pStyle w:val="Prrafodelista"/>
        <w:numPr>
          <w:ilvl w:val="0"/>
          <w:numId w:val="49"/>
        </w:numPr>
        <w:ind w:left="1068"/>
        <w:jc w:val="both"/>
        <w:rPr>
          <w:rFonts w:ascii="Verdana" w:hAnsi="Verdana"/>
          <w:bCs/>
        </w:rPr>
      </w:pPr>
      <w:r>
        <w:rPr>
          <w:rFonts w:ascii="Verdana" w:hAnsi="Verdana"/>
          <w:bCs/>
        </w:rPr>
        <w:t>Elaborar e i</w:t>
      </w:r>
      <w:r w:rsidR="00106136">
        <w:rPr>
          <w:rFonts w:ascii="Verdana" w:hAnsi="Verdana"/>
          <w:bCs/>
        </w:rPr>
        <w:t>mplementar</w:t>
      </w:r>
      <w:r w:rsidR="002027D4" w:rsidRPr="00106136">
        <w:rPr>
          <w:rFonts w:ascii="Verdana" w:hAnsi="Verdana"/>
          <w:bCs/>
        </w:rPr>
        <w:t xml:space="preserve"> </w:t>
      </w:r>
      <w:r w:rsidR="00106136">
        <w:rPr>
          <w:rFonts w:ascii="Verdana" w:hAnsi="Verdana"/>
          <w:bCs/>
        </w:rPr>
        <w:t xml:space="preserve">en el </w:t>
      </w:r>
      <w:r w:rsidR="00106136" w:rsidRPr="00106136">
        <w:rPr>
          <w:rFonts w:ascii="Verdana" w:hAnsi="Verdana"/>
          <w:bCs/>
        </w:rPr>
        <w:t>Sis</w:t>
      </w:r>
      <w:r w:rsidR="00106136">
        <w:rPr>
          <w:rFonts w:ascii="Verdana" w:hAnsi="Verdana"/>
          <w:bCs/>
        </w:rPr>
        <w:t xml:space="preserve">tema Institucional Archivístico </w:t>
      </w:r>
      <w:r w:rsidR="002D0538">
        <w:rPr>
          <w:rFonts w:ascii="Verdana" w:hAnsi="Verdana"/>
          <w:bCs/>
        </w:rPr>
        <w:t xml:space="preserve">el cuadro de clasificación </w:t>
      </w:r>
      <w:r w:rsidR="002027D4" w:rsidRPr="00106136">
        <w:rPr>
          <w:rFonts w:ascii="Verdana" w:hAnsi="Verdana"/>
          <w:bCs/>
        </w:rPr>
        <w:t>normalizado</w:t>
      </w:r>
      <w:r w:rsidR="00106136">
        <w:rPr>
          <w:rFonts w:ascii="Verdana" w:hAnsi="Verdana"/>
          <w:bCs/>
        </w:rPr>
        <w:t>.</w:t>
      </w:r>
    </w:p>
    <w:p w14:paraId="59CCD329" w14:textId="77777777" w:rsidR="00106136" w:rsidRPr="004C0601" w:rsidRDefault="00106136" w:rsidP="00A215A9">
      <w:pPr>
        <w:pStyle w:val="Prrafodelista"/>
        <w:ind w:left="348"/>
        <w:jc w:val="both"/>
        <w:rPr>
          <w:rFonts w:ascii="Verdana" w:hAnsi="Verdana"/>
          <w:bCs/>
        </w:rPr>
      </w:pPr>
    </w:p>
    <w:p w14:paraId="70CF481D" w14:textId="15CBF63B" w:rsidR="002027D4" w:rsidRDefault="002027D4" w:rsidP="00A215A9">
      <w:pPr>
        <w:pStyle w:val="Prrafodelista"/>
        <w:numPr>
          <w:ilvl w:val="0"/>
          <w:numId w:val="49"/>
        </w:numPr>
        <w:ind w:left="1068"/>
        <w:jc w:val="both"/>
        <w:rPr>
          <w:rFonts w:ascii="Verdana" w:hAnsi="Verdana"/>
          <w:bCs/>
        </w:rPr>
      </w:pPr>
      <w:r w:rsidRPr="004C0601">
        <w:rPr>
          <w:rFonts w:ascii="Verdana" w:hAnsi="Verdana"/>
          <w:bCs/>
        </w:rPr>
        <w:t xml:space="preserve">Realizar inspecciones </w:t>
      </w:r>
      <w:r w:rsidR="00106136" w:rsidRPr="00106136">
        <w:rPr>
          <w:rFonts w:ascii="Verdana" w:hAnsi="Verdana"/>
          <w:bCs/>
        </w:rPr>
        <w:t xml:space="preserve">en el Sistema Institucional Archivístico </w:t>
      </w:r>
      <w:r w:rsidRPr="004C0601">
        <w:rPr>
          <w:rFonts w:ascii="Verdana" w:hAnsi="Verdana"/>
          <w:bCs/>
        </w:rPr>
        <w:t xml:space="preserve">para verificar el cumplimiento de la </w:t>
      </w:r>
      <w:r w:rsidR="00106136">
        <w:rPr>
          <w:rFonts w:ascii="Verdana" w:hAnsi="Verdana"/>
          <w:bCs/>
        </w:rPr>
        <w:t>normativa</w:t>
      </w:r>
      <w:r w:rsidRPr="004C0601">
        <w:rPr>
          <w:rFonts w:ascii="Verdana" w:hAnsi="Verdana"/>
          <w:bCs/>
        </w:rPr>
        <w:t xml:space="preserve"> archivística </w:t>
      </w:r>
      <w:r w:rsidR="00106136">
        <w:rPr>
          <w:rFonts w:ascii="Verdana" w:hAnsi="Verdana"/>
          <w:bCs/>
        </w:rPr>
        <w:t>vigente.</w:t>
      </w:r>
    </w:p>
    <w:p w14:paraId="7028EBE3" w14:textId="77777777" w:rsidR="000E620A" w:rsidRPr="000E620A" w:rsidRDefault="000E620A" w:rsidP="000E620A">
      <w:pPr>
        <w:pStyle w:val="Prrafodelista"/>
        <w:rPr>
          <w:rFonts w:ascii="Verdana" w:hAnsi="Verdana"/>
          <w:bCs/>
        </w:rPr>
      </w:pPr>
    </w:p>
    <w:p w14:paraId="1777DCDD" w14:textId="22ACFB36" w:rsidR="000E620A" w:rsidRPr="004C0601" w:rsidRDefault="000E620A" w:rsidP="00A215A9">
      <w:pPr>
        <w:pStyle w:val="Prrafodelista"/>
        <w:numPr>
          <w:ilvl w:val="0"/>
          <w:numId w:val="49"/>
        </w:numPr>
        <w:ind w:left="1068"/>
        <w:jc w:val="both"/>
        <w:rPr>
          <w:rFonts w:ascii="Verdana" w:hAnsi="Verdana"/>
          <w:bCs/>
        </w:rPr>
      </w:pPr>
      <w:r w:rsidRPr="000E620A">
        <w:rPr>
          <w:rFonts w:ascii="Verdana" w:hAnsi="Verdana"/>
          <w:bCs/>
        </w:rPr>
        <w:t>Proyectarse en el ámbito archivístico nacional por medio de la asistencia a</w:t>
      </w:r>
      <w:r>
        <w:rPr>
          <w:rFonts w:ascii="Verdana" w:hAnsi="Verdana"/>
          <w:bCs/>
        </w:rPr>
        <w:t xml:space="preserve"> eventos de capacitación y actualización profesional organizados por la Dirección General del Archivo </w:t>
      </w:r>
      <w:r w:rsidR="00E36C59" w:rsidRPr="00E36C59">
        <w:rPr>
          <w:rFonts w:ascii="Verdana" w:hAnsi="Verdana"/>
          <w:bCs/>
        </w:rPr>
        <w:t>Nacional, grupos de archivistas organizados y programas de formación continua en centros de enseñanza técnica y universitaria</w:t>
      </w:r>
      <w:r>
        <w:rPr>
          <w:rFonts w:ascii="Verdana" w:hAnsi="Verdana"/>
          <w:bCs/>
        </w:rPr>
        <w:t>.</w:t>
      </w:r>
    </w:p>
    <w:p w14:paraId="767010E9" w14:textId="77777777" w:rsidR="006D1B23" w:rsidRPr="002027D4" w:rsidRDefault="006D1B23" w:rsidP="00A215A9">
      <w:pPr>
        <w:spacing w:after="0" w:line="240" w:lineRule="auto"/>
        <w:ind w:left="348"/>
        <w:jc w:val="both"/>
        <w:rPr>
          <w:rFonts w:ascii="Verdana" w:eastAsia="Times New Roman" w:hAnsi="Verdana" w:cs="Times New Roman"/>
          <w:bCs/>
          <w:sz w:val="24"/>
          <w:szCs w:val="24"/>
          <w:lang w:eastAsia="es-ES"/>
        </w:rPr>
      </w:pPr>
    </w:p>
    <w:p w14:paraId="4445BE5E" w14:textId="77777777" w:rsidR="006D1B23" w:rsidRPr="00485619" w:rsidRDefault="006D1B23" w:rsidP="008115C0">
      <w:pPr>
        <w:spacing w:after="0" w:line="240" w:lineRule="auto"/>
        <w:jc w:val="both"/>
        <w:rPr>
          <w:rFonts w:ascii="Verdana" w:eastAsia="Times New Roman" w:hAnsi="Verdana" w:cs="Times New Roman"/>
          <w:bCs/>
          <w:sz w:val="24"/>
          <w:szCs w:val="24"/>
          <w:lang w:val="es-ES" w:eastAsia="es-ES"/>
        </w:rPr>
      </w:pPr>
    </w:p>
    <w:p w14:paraId="5ABAEB88" w14:textId="77777777" w:rsidR="006A6EA9" w:rsidRPr="00485619" w:rsidRDefault="006A6EA9" w:rsidP="00485619">
      <w:pPr>
        <w:keepNext/>
        <w:spacing w:after="0" w:line="240" w:lineRule="auto"/>
        <w:jc w:val="both"/>
        <w:outlineLvl w:val="0"/>
        <w:rPr>
          <w:rFonts w:ascii="Verdana" w:eastAsia="Times New Roman" w:hAnsi="Verdana" w:cs="Times New Roman"/>
          <w:b/>
          <w:bCs/>
          <w:sz w:val="24"/>
          <w:szCs w:val="24"/>
          <w:lang w:val="es-ES" w:eastAsia="es-ES"/>
        </w:rPr>
      </w:pPr>
      <w:bookmarkStart w:id="18" w:name="_Toc339976546"/>
      <w:r w:rsidRPr="00485619">
        <w:rPr>
          <w:rFonts w:ascii="Verdana" w:eastAsia="Times New Roman" w:hAnsi="Verdana" w:cs="Times New Roman"/>
          <w:b/>
          <w:bCs/>
          <w:sz w:val="24"/>
          <w:szCs w:val="24"/>
          <w:lang w:val="es-ES" w:eastAsia="es-ES"/>
        </w:rPr>
        <w:t>DEPARTAMENTO SERVICIOS ARCHIVÍSTICOS EXTERNOS</w:t>
      </w:r>
      <w:bookmarkEnd w:id="18"/>
    </w:p>
    <w:p w14:paraId="4FEAB3B8" w14:textId="77777777" w:rsidR="006A6EA9" w:rsidRPr="00485619" w:rsidRDefault="006A6EA9" w:rsidP="00485619">
      <w:pPr>
        <w:spacing w:after="0" w:line="240" w:lineRule="auto"/>
        <w:jc w:val="both"/>
        <w:rPr>
          <w:rFonts w:ascii="Verdana" w:eastAsia="Times New Roman" w:hAnsi="Verdana" w:cs="Times New Roman"/>
          <w:sz w:val="24"/>
          <w:szCs w:val="24"/>
          <w:lang w:val="es-ES" w:eastAsia="es-ES"/>
        </w:rPr>
      </w:pPr>
    </w:p>
    <w:p w14:paraId="79FD8896" w14:textId="77777777" w:rsidR="006A6EA9" w:rsidRPr="00485619" w:rsidRDefault="006A6EA9" w:rsidP="00485619">
      <w:pPr>
        <w:spacing w:after="0" w:line="240" w:lineRule="auto"/>
        <w:jc w:val="both"/>
        <w:rPr>
          <w:rFonts w:ascii="Verdana" w:eastAsia="Times New Roman" w:hAnsi="Verdana" w:cs="Times New Roman"/>
          <w:b/>
          <w:sz w:val="24"/>
          <w:szCs w:val="24"/>
          <w:lang w:val="es-ES" w:eastAsia="es-ES"/>
        </w:rPr>
      </w:pPr>
    </w:p>
    <w:p w14:paraId="0E6DCE2B" w14:textId="77777777" w:rsidR="00FC4E34" w:rsidRPr="00485619" w:rsidRDefault="00FC4E34" w:rsidP="00485619">
      <w:pPr>
        <w:spacing w:after="0" w:line="240" w:lineRule="auto"/>
        <w:jc w:val="both"/>
        <w:rPr>
          <w:rFonts w:ascii="Verdana" w:eastAsia="Times New Roman" w:hAnsi="Verdana" w:cs="Times New Roman"/>
          <w:b/>
          <w:sz w:val="24"/>
          <w:szCs w:val="24"/>
          <w:lang w:val="es-ES" w:eastAsia="es-ES"/>
        </w:rPr>
      </w:pPr>
    </w:p>
    <w:p w14:paraId="0EBC4B6A" w14:textId="77777777" w:rsidR="00FC4E34" w:rsidRPr="00485619" w:rsidRDefault="00FC4E34" w:rsidP="00485619">
      <w:pPr>
        <w:spacing w:after="0" w:line="240" w:lineRule="auto"/>
        <w:jc w:val="both"/>
        <w:rPr>
          <w:rFonts w:ascii="Verdana" w:eastAsia="Times New Roman" w:hAnsi="Verdana" w:cs="Times New Roman"/>
          <w:b/>
          <w:sz w:val="24"/>
          <w:szCs w:val="24"/>
          <w:lang w:val="es-ES" w:eastAsia="es-ES"/>
        </w:rPr>
      </w:pPr>
    </w:p>
    <w:p w14:paraId="68A5CD1D" w14:textId="77777777" w:rsidR="006A6EA9" w:rsidRPr="00485619" w:rsidRDefault="006A6EA9" w:rsidP="00485619">
      <w:pPr>
        <w:spacing w:after="0" w:line="240" w:lineRule="auto"/>
        <w:jc w:val="both"/>
        <w:rPr>
          <w:rFonts w:ascii="Verdana" w:eastAsia="Times New Roman" w:hAnsi="Verdana" w:cs="Times New Roman"/>
          <w:bCs/>
          <w:sz w:val="24"/>
          <w:szCs w:val="24"/>
          <w:lang w:val="es-ES" w:eastAsia="es-ES"/>
        </w:rPr>
      </w:pPr>
    </w:p>
    <w:p w14:paraId="3BBAC6CC" w14:textId="77777777" w:rsidR="00A35E72" w:rsidRPr="00485619" w:rsidRDefault="00A35E72" w:rsidP="00485619">
      <w:pPr>
        <w:spacing w:after="0" w:line="240" w:lineRule="auto"/>
        <w:jc w:val="both"/>
        <w:rPr>
          <w:rFonts w:ascii="Verdana" w:eastAsia="Times New Roman" w:hAnsi="Verdana" w:cs="Times New Roman"/>
          <w:bCs/>
          <w:sz w:val="24"/>
          <w:szCs w:val="24"/>
          <w:lang w:val="es-ES" w:eastAsia="es-ES"/>
        </w:rPr>
      </w:pPr>
      <w:r w:rsidRPr="00485619">
        <w:rPr>
          <w:rFonts w:ascii="Verdana" w:eastAsia="Times New Roman" w:hAnsi="Verdana" w:cs="Times New Roman"/>
          <w:bCs/>
          <w:sz w:val="24"/>
          <w:szCs w:val="24"/>
          <w:lang w:val="es-ES" w:eastAsia="es-ES"/>
        </w:rPr>
        <w:t>Mellany Otárola Sáenz</w:t>
      </w:r>
    </w:p>
    <w:p w14:paraId="07696438" w14:textId="77777777" w:rsidR="006A6EA9" w:rsidRPr="00485619" w:rsidRDefault="00A35E72" w:rsidP="00485619">
      <w:pPr>
        <w:spacing w:after="0" w:line="240" w:lineRule="auto"/>
        <w:jc w:val="both"/>
        <w:rPr>
          <w:rFonts w:ascii="Verdana" w:eastAsia="Times New Roman" w:hAnsi="Verdana" w:cs="Times New Roman"/>
          <w:bCs/>
          <w:sz w:val="24"/>
          <w:szCs w:val="24"/>
          <w:lang w:val="es-ES" w:eastAsia="es-ES"/>
        </w:rPr>
      </w:pPr>
      <w:r w:rsidRPr="00485619">
        <w:rPr>
          <w:rFonts w:ascii="Verdana" w:eastAsia="Times New Roman" w:hAnsi="Verdana" w:cs="Times New Roman"/>
          <w:bCs/>
          <w:sz w:val="24"/>
          <w:szCs w:val="24"/>
          <w:lang w:val="es-ES" w:eastAsia="es-ES"/>
        </w:rPr>
        <w:t>Profesional asignada</w:t>
      </w:r>
    </w:p>
    <w:p w14:paraId="16170120" w14:textId="77777777" w:rsidR="003501F3" w:rsidRDefault="00544B07" w:rsidP="003501F3">
      <w:pPr>
        <w:spacing w:after="0" w:line="240" w:lineRule="auto"/>
        <w:jc w:val="both"/>
        <w:rPr>
          <w:rFonts w:ascii="Verdana" w:eastAsia="Times New Roman" w:hAnsi="Verdana" w:cs="Times New Roman"/>
          <w:bCs/>
          <w:sz w:val="24"/>
          <w:szCs w:val="24"/>
          <w:lang w:val="es-ES" w:eastAsia="es-ES"/>
        </w:rPr>
      </w:pPr>
      <w:r w:rsidRPr="00485619">
        <w:rPr>
          <w:rFonts w:ascii="Verdana" w:eastAsia="Times New Roman" w:hAnsi="Verdana" w:cs="Times New Roman"/>
          <w:bCs/>
          <w:sz w:val="24"/>
          <w:szCs w:val="24"/>
          <w:lang w:val="es-ES" w:eastAsia="es-ES"/>
        </w:rPr>
        <w:t>2015</w:t>
      </w:r>
    </w:p>
    <w:p w14:paraId="4CCABD04" w14:textId="77777777" w:rsidR="003501F3" w:rsidRDefault="003501F3" w:rsidP="003501F3">
      <w:pPr>
        <w:spacing w:after="0" w:line="240" w:lineRule="auto"/>
        <w:jc w:val="both"/>
        <w:rPr>
          <w:rFonts w:ascii="Verdana" w:eastAsia="Times New Roman" w:hAnsi="Verdana" w:cs="Times New Roman"/>
          <w:bCs/>
          <w:sz w:val="24"/>
          <w:szCs w:val="24"/>
          <w:lang w:val="es-ES" w:eastAsia="es-ES"/>
        </w:rPr>
      </w:pPr>
      <w:r>
        <w:rPr>
          <w:rFonts w:ascii="Verdana" w:eastAsia="Times New Roman" w:hAnsi="Verdana" w:cs="Times New Roman"/>
          <w:bCs/>
          <w:sz w:val="24"/>
          <w:szCs w:val="24"/>
          <w:lang w:val="es-ES" w:eastAsia="es-ES"/>
        </w:rPr>
        <w:br w:type="page"/>
      </w:r>
    </w:p>
    <w:p w14:paraId="096350F0" w14:textId="47F2E868" w:rsidR="006A6EA9" w:rsidRPr="003501F3" w:rsidRDefault="006A6EA9" w:rsidP="003501F3">
      <w:pPr>
        <w:spacing w:after="0" w:line="240" w:lineRule="auto"/>
        <w:jc w:val="center"/>
        <w:rPr>
          <w:rFonts w:ascii="Verdana" w:hAnsi="Verdana"/>
          <w:b/>
          <w:bCs/>
          <w:sz w:val="24"/>
          <w:szCs w:val="24"/>
        </w:rPr>
      </w:pPr>
      <w:r w:rsidRPr="003501F3">
        <w:rPr>
          <w:rFonts w:ascii="Verdana" w:hAnsi="Verdana"/>
          <w:b/>
          <w:sz w:val="24"/>
          <w:szCs w:val="24"/>
        </w:rPr>
        <w:t>IX. Anexos</w:t>
      </w:r>
    </w:p>
    <w:p w14:paraId="4224B68B" w14:textId="77777777" w:rsidR="006A6EA9" w:rsidRPr="00485619" w:rsidRDefault="006A6EA9" w:rsidP="00407698">
      <w:pPr>
        <w:spacing w:after="0" w:line="240" w:lineRule="auto"/>
        <w:jc w:val="center"/>
        <w:rPr>
          <w:rFonts w:ascii="Verdana" w:eastAsia="Times New Roman" w:hAnsi="Verdana" w:cs="Times New Roman"/>
          <w:b/>
          <w:bCs/>
          <w:sz w:val="24"/>
          <w:szCs w:val="24"/>
          <w:lang w:val="es-ES" w:eastAsia="es-ES"/>
        </w:rPr>
      </w:pPr>
    </w:p>
    <w:p w14:paraId="157BC48C" w14:textId="77777777" w:rsidR="006A6EA9" w:rsidRPr="00407698" w:rsidRDefault="006A6EA9" w:rsidP="00407698">
      <w:pPr>
        <w:spacing w:after="0" w:line="240" w:lineRule="auto"/>
        <w:jc w:val="center"/>
        <w:rPr>
          <w:rFonts w:ascii="Verdana" w:eastAsia="Times New Roman" w:hAnsi="Verdana" w:cs="Times New Roman"/>
          <w:b/>
          <w:bCs/>
          <w:lang w:val="es-ES" w:eastAsia="es-ES"/>
        </w:rPr>
      </w:pPr>
      <w:r w:rsidRPr="00407698">
        <w:rPr>
          <w:rFonts w:ascii="Verdana" w:eastAsia="Times New Roman" w:hAnsi="Verdana" w:cs="Times New Roman"/>
          <w:b/>
          <w:bCs/>
          <w:lang w:val="es-ES" w:eastAsia="es-ES"/>
        </w:rPr>
        <w:t>Anexo No. 1</w:t>
      </w:r>
    </w:p>
    <w:p w14:paraId="482FDE5D" w14:textId="77777777" w:rsidR="006A6EA9" w:rsidRPr="00407698" w:rsidRDefault="006A6EA9" w:rsidP="00407698">
      <w:pPr>
        <w:spacing w:after="0" w:line="240" w:lineRule="auto"/>
        <w:jc w:val="center"/>
        <w:rPr>
          <w:rFonts w:ascii="Verdana" w:eastAsia="Times New Roman" w:hAnsi="Verdana" w:cs="Times New Roman"/>
          <w:b/>
          <w:bCs/>
          <w:lang w:val="es-ES" w:eastAsia="es-ES"/>
        </w:rPr>
      </w:pPr>
      <w:r w:rsidRPr="00407698">
        <w:rPr>
          <w:rFonts w:ascii="Verdana" w:eastAsia="Times New Roman" w:hAnsi="Verdana" w:cs="Times New Roman"/>
          <w:b/>
          <w:bCs/>
          <w:lang w:val="es-ES" w:eastAsia="es-ES"/>
        </w:rPr>
        <w:t>Lista de instituciones que han presentado Informe Anual de Desarrollo</w:t>
      </w:r>
    </w:p>
    <w:p w14:paraId="6F7275C4" w14:textId="77777777" w:rsidR="006A6EA9" w:rsidRPr="00407698" w:rsidRDefault="00A63807" w:rsidP="00407698">
      <w:pPr>
        <w:spacing w:after="0" w:line="240" w:lineRule="auto"/>
        <w:jc w:val="center"/>
        <w:rPr>
          <w:rFonts w:ascii="Verdana" w:eastAsia="Times New Roman" w:hAnsi="Verdana" w:cs="Times New Roman"/>
          <w:lang w:val="es-ES" w:eastAsia="es-ES"/>
        </w:rPr>
      </w:pPr>
      <w:r w:rsidRPr="00407698">
        <w:rPr>
          <w:rFonts w:ascii="Verdana" w:eastAsia="Times New Roman" w:hAnsi="Verdana" w:cs="Times New Roman"/>
          <w:b/>
          <w:bCs/>
          <w:lang w:val="es-ES" w:eastAsia="es-ES"/>
        </w:rPr>
        <w:t>Archivístico (IADA) entre 2009-2015</w:t>
      </w:r>
    </w:p>
    <w:p w14:paraId="151CD432" w14:textId="77777777" w:rsidR="006A6EA9" w:rsidRPr="00485619" w:rsidRDefault="006A6EA9" w:rsidP="00485619">
      <w:pPr>
        <w:spacing w:after="0" w:line="240" w:lineRule="auto"/>
        <w:jc w:val="both"/>
        <w:rPr>
          <w:rFonts w:ascii="Verdana" w:eastAsia="Times New Roman" w:hAnsi="Verdana" w:cs="Arial"/>
          <w:sz w:val="24"/>
          <w:szCs w:val="24"/>
          <w:lang w:val="es-ES" w:eastAsia="es-ES"/>
        </w:rPr>
      </w:pPr>
    </w:p>
    <w:tbl>
      <w:tblPr>
        <w:tblStyle w:val="Cuadrculamedia1-nfasis1"/>
        <w:tblW w:w="0" w:type="auto"/>
        <w:jc w:val="center"/>
        <w:tblLayout w:type="fixed"/>
        <w:tblLook w:val="04A0" w:firstRow="1" w:lastRow="0" w:firstColumn="1" w:lastColumn="0" w:noHBand="0" w:noVBand="1"/>
      </w:tblPr>
      <w:tblGrid>
        <w:gridCol w:w="817"/>
        <w:gridCol w:w="5183"/>
        <w:gridCol w:w="680"/>
        <w:gridCol w:w="680"/>
        <w:gridCol w:w="680"/>
        <w:gridCol w:w="680"/>
        <w:gridCol w:w="680"/>
        <w:gridCol w:w="680"/>
      </w:tblGrid>
      <w:tr w:rsidR="003F501B" w:rsidRPr="00407698" w14:paraId="1EA722C4" w14:textId="77777777" w:rsidTr="00D2219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14:paraId="0E053C89" w14:textId="77777777" w:rsidR="009949F6" w:rsidRPr="00407698" w:rsidRDefault="009949F6" w:rsidP="00D22199">
            <w:pPr>
              <w:jc w:val="center"/>
              <w:rPr>
                <w:rFonts w:ascii="Verdana" w:hAnsi="Verdana" w:cs="Arial"/>
                <w:sz w:val="16"/>
                <w:szCs w:val="16"/>
                <w:lang w:val="es-ES" w:eastAsia="es-ES"/>
              </w:rPr>
            </w:pPr>
            <w:r w:rsidRPr="00407698">
              <w:rPr>
                <w:rFonts w:ascii="Verdana" w:hAnsi="Verdana" w:cs="Arial"/>
                <w:sz w:val="16"/>
                <w:szCs w:val="16"/>
                <w:lang w:val="es-ES" w:eastAsia="es-ES"/>
              </w:rPr>
              <w:t>N°</w:t>
            </w:r>
          </w:p>
        </w:tc>
        <w:tc>
          <w:tcPr>
            <w:tcW w:w="5183" w:type="dxa"/>
            <w:noWrap/>
            <w:vAlign w:val="center"/>
            <w:hideMark/>
          </w:tcPr>
          <w:p w14:paraId="79F01A59" w14:textId="77777777" w:rsidR="009949F6" w:rsidRPr="00407698" w:rsidRDefault="009949F6"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s-ES" w:eastAsia="es-ES"/>
              </w:rPr>
            </w:pPr>
            <w:r w:rsidRPr="00407698">
              <w:rPr>
                <w:rFonts w:ascii="Verdana" w:hAnsi="Verdana" w:cs="Arial"/>
                <w:sz w:val="16"/>
                <w:szCs w:val="16"/>
                <w:lang w:val="es-ES" w:eastAsia="es-ES"/>
              </w:rPr>
              <w:t>Lista de instituciones que presentaron el IADA</w:t>
            </w:r>
          </w:p>
        </w:tc>
        <w:tc>
          <w:tcPr>
            <w:tcW w:w="680" w:type="dxa"/>
            <w:noWrap/>
            <w:vAlign w:val="center"/>
            <w:hideMark/>
          </w:tcPr>
          <w:p w14:paraId="0B2FCC96" w14:textId="77777777" w:rsidR="009949F6" w:rsidRPr="00407698" w:rsidRDefault="009949F6"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s-ES" w:eastAsia="es-ES"/>
              </w:rPr>
            </w:pPr>
            <w:r w:rsidRPr="00407698">
              <w:rPr>
                <w:rFonts w:ascii="Verdana" w:hAnsi="Verdana" w:cs="Arial"/>
                <w:sz w:val="16"/>
                <w:szCs w:val="16"/>
                <w:lang w:val="es-ES" w:eastAsia="es-ES"/>
              </w:rPr>
              <w:t>2009-2010</w:t>
            </w:r>
          </w:p>
        </w:tc>
        <w:tc>
          <w:tcPr>
            <w:tcW w:w="680" w:type="dxa"/>
            <w:noWrap/>
            <w:vAlign w:val="center"/>
            <w:hideMark/>
          </w:tcPr>
          <w:p w14:paraId="43C83A88" w14:textId="77777777" w:rsidR="009949F6" w:rsidRPr="00407698" w:rsidRDefault="009949F6"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s-ES" w:eastAsia="es-ES"/>
              </w:rPr>
            </w:pPr>
            <w:r w:rsidRPr="00407698">
              <w:rPr>
                <w:rFonts w:ascii="Verdana" w:hAnsi="Verdana" w:cs="Arial"/>
                <w:sz w:val="16"/>
                <w:szCs w:val="16"/>
                <w:lang w:val="es-ES" w:eastAsia="es-ES"/>
              </w:rPr>
              <w:t>2010-2011</w:t>
            </w:r>
          </w:p>
        </w:tc>
        <w:tc>
          <w:tcPr>
            <w:tcW w:w="680" w:type="dxa"/>
            <w:noWrap/>
            <w:vAlign w:val="center"/>
            <w:hideMark/>
          </w:tcPr>
          <w:p w14:paraId="737A5B67" w14:textId="77777777" w:rsidR="009949F6" w:rsidRPr="00407698" w:rsidRDefault="009949F6"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s-ES" w:eastAsia="es-ES"/>
              </w:rPr>
            </w:pPr>
            <w:r w:rsidRPr="00407698">
              <w:rPr>
                <w:rFonts w:ascii="Verdana" w:hAnsi="Verdana" w:cs="Arial"/>
                <w:sz w:val="16"/>
                <w:szCs w:val="16"/>
                <w:lang w:val="es-ES" w:eastAsia="es-ES"/>
              </w:rPr>
              <w:t>2011-2012</w:t>
            </w:r>
          </w:p>
        </w:tc>
        <w:tc>
          <w:tcPr>
            <w:tcW w:w="680" w:type="dxa"/>
            <w:noWrap/>
            <w:vAlign w:val="center"/>
            <w:hideMark/>
          </w:tcPr>
          <w:p w14:paraId="3811831E" w14:textId="77777777" w:rsidR="009949F6" w:rsidRPr="00407698" w:rsidRDefault="009949F6"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s-ES" w:eastAsia="es-ES"/>
              </w:rPr>
            </w:pPr>
            <w:r w:rsidRPr="00407698">
              <w:rPr>
                <w:rFonts w:ascii="Verdana" w:hAnsi="Verdana" w:cs="Arial"/>
                <w:sz w:val="16"/>
                <w:szCs w:val="16"/>
                <w:lang w:val="es-ES" w:eastAsia="es-ES"/>
              </w:rPr>
              <w:t>2012-2013</w:t>
            </w:r>
          </w:p>
        </w:tc>
        <w:tc>
          <w:tcPr>
            <w:tcW w:w="680" w:type="dxa"/>
            <w:noWrap/>
            <w:vAlign w:val="center"/>
            <w:hideMark/>
          </w:tcPr>
          <w:p w14:paraId="12DFE3C1" w14:textId="77777777" w:rsidR="009949F6" w:rsidRPr="00407698" w:rsidRDefault="009949F6"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s-ES" w:eastAsia="es-ES"/>
              </w:rPr>
            </w:pPr>
            <w:r w:rsidRPr="00407698">
              <w:rPr>
                <w:rFonts w:ascii="Verdana" w:hAnsi="Verdana" w:cs="Arial"/>
                <w:sz w:val="16"/>
                <w:szCs w:val="16"/>
                <w:lang w:val="es-ES" w:eastAsia="es-ES"/>
              </w:rPr>
              <w:t>2013-2014</w:t>
            </w:r>
          </w:p>
        </w:tc>
        <w:tc>
          <w:tcPr>
            <w:tcW w:w="680" w:type="dxa"/>
            <w:noWrap/>
            <w:vAlign w:val="center"/>
            <w:hideMark/>
          </w:tcPr>
          <w:p w14:paraId="32310C06" w14:textId="77777777" w:rsidR="009949F6" w:rsidRPr="00407698" w:rsidRDefault="009949F6"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s-ES" w:eastAsia="es-ES"/>
              </w:rPr>
            </w:pPr>
            <w:r w:rsidRPr="00407698">
              <w:rPr>
                <w:rFonts w:ascii="Verdana" w:hAnsi="Verdana" w:cs="Arial"/>
                <w:sz w:val="16"/>
                <w:szCs w:val="16"/>
                <w:lang w:val="es-ES" w:eastAsia="es-ES"/>
              </w:rPr>
              <w:t>2014-2015</w:t>
            </w:r>
          </w:p>
        </w:tc>
      </w:tr>
      <w:tr w:rsidR="003F501B" w:rsidRPr="00407698" w14:paraId="5537B54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CED71DA"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w:t>
            </w:r>
          </w:p>
        </w:tc>
        <w:tc>
          <w:tcPr>
            <w:tcW w:w="5183" w:type="dxa"/>
            <w:noWrap/>
            <w:hideMark/>
          </w:tcPr>
          <w:p w14:paraId="0C3577F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Asamblea Legislativa</w:t>
            </w:r>
          </w:p>
        </w:tc>
        <w:tc>
          <w:tcPr>
            <w:tcW w:w="680" w:type="dxa"/>
            <w:noWrap/>
            <w:hideMark/>
          </w:tcPr>
          <w:p w14:paraId="7A47E1F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2B3E8F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AFE174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0D0428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09439C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179B59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AEF2D68"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5321558"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2</w:t>
            </w:r>
          </w:p>
        </w:tc>
        <w:tc>
          <w:tcPr>
            <w:tcW w:w="5183" w:type="dxa"/>
            <w:noWrap/>
            <w:hideMark/>
          </w:tcPr>
          <w:p w14:paraId="7D69C5C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Autoridad Reguladora de Servicios Públicos (ARESEP)</w:t>
            </w:r>
          </w:p>
        </w:tc>
        <w:tc>
          <w:tcPr>
            <w:tcW w:w="680" w:type="dxa"/>
            <w:noWrap/>
            <w:hideMark/>
          </w:tcPr>
          <w:p w14:paraId="5DD56A5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F5C653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6A2D26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F6DBB5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FB7D17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9EAACA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32297E4"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4ADD057"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3</w:t>
            </w:r>
          </w:p>
        </w:tc>
        <w:tc>
          <w:tcPr>
            <w:tcW w:w="5183" w:type="dxa"/>
            <w:noWrap/>
            <w:hideMark/>
          </w:tcPr>
          <w:p w14:paraId="3B1E601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Banco Central de Costa Rica (BCCR)</w:t>
            </w:r>
          </w:p>
        </w:tc>
        <w:tc>
          <w:tcPr>
            <w:tcW w:w="680" w:type="dxa"/>
            <w:noWrap/>
            <w:hideMark/>
          </w:tcPr>
          <w:p w14:paraId="175A0F7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50FA39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403B88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DCA5FB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7C6DF7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378FA2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4DA82E65"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129F63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4</w:t>
            </w:r>
          </w:p>
        </w:tc>
        <w:tc>
          <w:tcPr>
            <w:tcW w:w="5183" w:type="dxa"/>
            <w:noWrap/>
            <w:hideMark/>
          </w:tcPr>
          <w:p w14:paraId="01D7ADD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Banco Crédito Agrícola de Cartago (BANCREDITO)</w:t>
            </w:r>
          </w:p>
        </w:tc>
        <w:tc>
          <w:tcPr>
            <w:tcW w:w="680" w:type="dxa"/>
            <w:noWrap/>
            <w:hideMark/>
          </w:tcPr>
          <w:p w14:paraId="4A35EA3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1677EF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A7F076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64ABD7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C52BAD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CD7CB8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0DA78BA"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808BA8C"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5</w:t>
            </w:r>
          </w:p>
        </w:tc>
        <w:tc>
          <w:tcPr>
            <w:tcW w:w="5183" w:type="dxa"/>
            <w:noWrap/>
            <w:hideMark/>
          </w:tcPr>
          <w:p w14:paraId="11E96F3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Banco de Costa Rica (BCR)</w:t>
            </w:r>
          </w:p>
        </w:tc>
        <w:tc>
          <w:tcPr>
            <w:tcW w:w="680" w:type="dxa"/>
            <w:noWrap/>
            <w:hideMark/>
          </w:tcPr>
          <w:p w14:paraId="435D63F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0D07DF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97CCC3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3B3140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81507C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9D8E51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FE0CE3E"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85666B0"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6</w:t>
            </w:r>
          </w:p>
        </w:tc>
        <w:tc>
          <w:tcPr>
            <w:tcW w:w="5183" w:type="dxa"/>
            <w:noWrap/>
            <w:hideMark/>
          </w:tcPr>
          <w:p w14:paraId="55AE561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Banco Hipotecario de la Vivienda (BANHVI)</w:t>
            </w:r>
          </w:p>
        </w:tc>
        <w:tc>
          <w:tcPr>
            <w:tcW w:w="680" w:type="dxa"/>
            <w:noWrap/>
            <w:hideMark/>
          </w:tcPr>
          <w:p w14:paraId="1C29764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DAAD43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D9CF13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8DEA8B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0FB573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54E8212"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77E0D664"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E5526CC"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7</w:t>
            </w:r>
          </w:p>
        </w:tc>
        <w:tc>
          <w:tcPr>
            <w:tcW w:w="5183" w:type="dxa"/>
            <w:noWrap/>
            <w:hideMark/>
          </w:tcPr>
          <w:p w14:paraId="43BE26C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Banco Nacional de Costa Rica (BNCR)</w:t>
            </w:r>
          </w:p>
        </w:tc>
        <w:tc>
          <w:tcPr>
            <w:tcW w:w="680" w:type="dxa"/>
            <w:noWrap/>
            <w:hideMark/>
          </w:tcPr>
          <w:p w14:paraId="70E2120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BDB8FA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123018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6FDE47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53390C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64749A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841587C"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78DB4EA"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8</w:t>
            </w:r>
          </w:p>
        </w:tc>
        <w:tc>
          <w:tcPr>
            <w:tcW w:w="5183" w:type="dxa"/>
            <w:noWrap/>
            <w:hideMark/>
          </w:tcPr>
          <w:p w14:paraId="62622EC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Banco Popular y de Desarrollo Comunal</w:t>
            </w:r>
          </w:p>
        </w:tc>
        <w:tc>
          <w:tcPr>
            <w:tcW w:w="680" w:type="dxa"/>
            <w:noWrap/>
            <w:hideMark/>
          </w:tcPr>
          <w:p w14:paraId="6BA963D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C68A10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4F7372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B0ACAC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812DDD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6D5198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09226B34"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DEC8454"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9</w:t>
            </w:r>
          </w:p>
        </w:tc>
        <w:tc>
          <w:tcPr>
            <w:tcW w:w="5183" w:type="dxa"/>
            <w:noWrap/>
            <w:hideMark/>
          </w:tcPr>
          <w:p w14:paraId="759D914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Benemérito Cuerpo de Bomberos de Costa Rica</w:t>
            </w:r>
          </w:p>
        </w:tc>
        <w:tc>
          <w:tcPr>
            <w:tcW w:w="680" w:type="dxa"/>
            <w:noWrap/>
            <w:hideMark/>
          </w:tcPr>
          <w:p w14:paraId="38DC7B3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D6F95A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CCD8CC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49F59A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03E686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5390FD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49C36FC7"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8775C2C"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10</w:t>
            </w:r>
          </w:p>
        </w:tc>
        <w:tc>
          <w:tcPr>
            <w:tcW w:w="5183" w:type="dxa"/>
            <w:noWrap/>
            <w:hideMark/>
          </w:tcPr>
          <w:p w14:paraId="6617B2E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Caja Costarricense de Seguro Social (CCSS)</w:t>
            </w:r>
          </w:p>
        </w:tc>
        <w:tc>
          <w:tcPr>
            <w:tcW w:w="680" w:type="dxa"/>
            <w:noWrap/>
            <w:hideMark/>
          </w:tcPr>
          <w:p w14:paraId="3636A36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9287B3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10AE48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9EE3E8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3E183F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D90095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BDC5EEE"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9A3F40A"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11</w:t>
            </w:r>
          </w:p>
        </w:tc>
        <w:tc>
          <w:tcPr>
            <w:tcW w:w="5183" w:type="dxa"/>
            <w:noWrap/>
            <w:hideMark/>
          </w:tcPr>
          <w:p w14:paraId="51D6202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Centro Cultural e Histórico José Figueres Ferrer</w:t>
            </w:r>
          </w:p>
        </w:tc>
        <w:tc>
          <w:tcPr>
            <w:tcW w:w="680" w:type="dxa"/>
            <w:noWrap/>
            <w:hideMark/>
          </w:tcPr>
          <w:p w14:paraId="1E9CC0C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E9B694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B21C4D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989716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8D05B9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C560A7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02EE32EA"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032B94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12</w:t>
            </w:r>
          </w:p>
        </w:tc>
        <w:tc>
          <w:tcPr>
            <w:tcW w:w="5183" w:type="dxa"/>
            <w:noWrap/>
            <w:hideMark/>
          </w:tcPr>
          <w:p w14:paraId="44FB03D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Centro Nacional de Recursos Para La Educación Inclusiva</w:t>
            </w:r>
          </w:p>
        </w:tc>
        <w:tc>
          <w:tcPr>
            <w:tcW w:w="680" w:type="dxa"/>
            <w:noWrap/>
            <w:hideMark/>
          </w:tcPr>
          <w:p w14:paraId="6CCFB65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792C98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54AE4A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53226E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00AE55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D0C7B98"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79CC652A"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723F36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13</w:t>
            </w:r>
          </w:p>
        </w:tc>
        <w:tc>
          <w:tcPr>
            <w:tcW w:w="5183" w:type="dxa"/>
            <w:noWrap/>
            <w:hideMark/>
          </w:tcPr>
          <w:p w14:paraId="093E943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Colegio de Contadores Privados de Costa Rica</w:t>
            </w:r>
          </w:p>
        </w:tc>
        <w:tc>
          <w:tcPr>
            <w:tcW w:w="680" w:type="dxa"/>
            <w:noWrap/>
            <w:hideMark/>
          </w:tcPr>
          <w:p w14:paraId="40C7BC0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9848DB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D3D9B7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F830DD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1B6954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48A542E"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39DDC25D"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151F13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14</w:t>
            </w:r>
          </w:p>
        </w:tc>
        <w:tc>
          <w:tcPr>
            <w:tcW w:w="5183" w:type="dxa"/>
            <w:noWrap/>
            <w:hideMark/>
          </w:tcPr>
          <w:p w14:paraId="2F9FE00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Colegio de Periodistas de Costa Rica (COLPER)</w:t>
            </w:r>
          </w:p>
        </w:tc>
        <w:tc>
          <w:tcPr>
            <w:tcW w:w="680" w:type="dxa"/>
            <w:noWrap/>
            <w:hideMark/>
          </w:tcPr>
          <w:p w14:paraId="2361B7C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6D4C56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BA503E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492F9C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585FB3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0048E8F"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40133A62"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B764F64"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15</w:t>
            </w:r>
          </w:p>
        </w:tc>
        <w:tc>
          <w:tcPr>
            <w:tcW w:w="5183" w:type="dxa"/>
            <w:noWrap/>
            <w:hideMark/>
          </w:tcPr>
          <w:p w14:paraId="54D06E7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Colegio Universitario de Cartago (CUC)</w:t>
            </w:r>
          </w:p>
        </w:tc>
        <w:tc>
          <w:tcPr>
            <w:tcW w:w="680" w:type="dxa"/>
            <w:noWrap/>
            <w:hideMark/>
          </w:tcPr>
          <w:p w14:paraId="5B2BB65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6FEBD8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5BAF94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0F9187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F2B7B1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21F26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0F06375A"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CB3A050"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16</w:t>
            </w:r>
          </w:p>
        </w:tc>
        <w:tc>
          <w:tcPr>
            <w:tcW w:w="5183" w:type="dxa"/>
            <w:noWrap/>
            <w:hideMark/>
          </w:tcPr>
          <w:p w14:paraId="5219E75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Colegio Universitario de Limón (CUNLIMÓN)</w:t>
            </w:r>
          </w:p>
        </w:tc>
        <w:tc>
          <w:tcPr>
            <w:tcW w:w="680" w:type="dxa"/>
            <w:noWrap/>
            <w:hideMark/>
          </w:tcPr>
          <w:p w14:paraId="46CBE87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7A2E9F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FF75BE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F8ED58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5A2D05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21EB4A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C997978"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C863DC0"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17</w:t>
            </w:r>
          </w:p>
        </w:tc>
        <w:tc>
          <w:tcPr>
            <w:tcW w:w="5183" w:type="dxa"/>
            <w:noWrap/>
            <w:hideMark/>
          </w:tcPr>
          <w:p w14:paraId="44FBE89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Comisión Nacional de Prestamos Para La Educación (CONAPE)</w:t>
            </w:r>
          </w:p>
        </w:tc>
        <w:tc>
          <w:tcPr>
            <w:tcW w:w="680" w:type="dxa"/>
            <w:noWrap/>
            <w:hideMark/>
          </w:tcPr>
          <w:p w14:paraId="0F1683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DBDE57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919B8E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AD7AE0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F3BB4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086C0A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B31C07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6D5D048"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18</w:t>
            </w:r>
          </w:p>
        </w:tc>
        <w:tc>
          <w:tcPr>
            <w:tcW w:w="5183" w:type="dxa"/>
            <w:noWrap/>
            <w:hideMark/>
          </w:tcPr>
          <w:p w14:paraId="53A40BE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Comisión Nacional de Prevención de Riesgos Y Atención de Emergencias (CNE)</w:t>
            </w:r>
          </w:p>
        </w:tc>
        <w:tc>
          <w:tcPr>
            <w:tcW w:w="680" w:type="dxa"/>
            <w:noWrap/>
            <w:hideMark/>
          </w:tcPr>
          <w:p w14:paraId="5769B47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D3E579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BB2DB1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78C447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B2B892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038B98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519B82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EB161F6"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19</w:t>
            </w:r>
          </w:p>
        </w:tc>
        <w:tc>
          <w:tcPr>
            <w:tcW w:w="5183" w:type="dxa"/>
            <w:noWrap/>
            <w:hideMark/>
          </w:tcPr>
          <w:p w14:paraId="1607CDD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Compañía Nacional de Fuerza Y Luz S.A (CNFL)</w:t>
            </w:r>
          </w:p>
        </w:tc>
        <w:tc>
          <w:tcPr>
            <w:tcW w:w="680" w:type="dxa"/>
            <w:noWrap/>
            <w:hideMark/>
          </w:tcPr>
          <w:p w14:paraId="4470A92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115A37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62D00D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785440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E9025F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B0DA25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F2E89AD"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B97945"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20</w:t>
            </w:r>
          </w:p>
        </w:tc>
        <w:tc>
          <w:tcPr>
            <w:tcW w:w="5183" w:type="dxa"/>
            <w:noWrap/>
            <w:hideMark/>
          </w:tcPr>
          <w:p w14:paraId="646E172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Concejo Municipal del Distrito de Lepanto</w:t>
            </w:r>
          </w:p>
        </w:tc>
        <w:tc>
          <w:tcPr>
            <w:tcW w:w="680" w:type="dxa"/>
            <w:noWrap/>
            <w:hideMark/>
          </w:tcPr>
          <w:p w14:paraId="6E7AC06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6351B9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E6F812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6BBDD7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02CD02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23AA73C"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525AFB07"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764ACBC"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21</w:t>
            </w:r>
          </w:p>
        </w:tc>
        <w:tc>
          <w:tcPr>
            <w:tcW w:w="5183" w:type="dxa"/>
            <w:noWrap/>
            <w:hideMark/>
          </w:tcPr>
          <w:p w14:paraId="0C43579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Consejo de Seguridad Vial</w:t>
            </w:r>
          </w:p>
        </w:tc>
        <w:tc>
          <w:tcPr>
            <w:tcW w:w="680" w:type="dxa"/>
            <w:noWrap/>
            <w:hideMark/>
          </w:tcPr>
          <w:p w14:paraId="0E8393D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8CB9F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6B12B1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5CFC8A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F52B08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24BD5E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4B864E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75D2725"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22</w:t>
            </w:r>
          </w:p>
        </w:tc>
        <w:tc>
          <w:tcPr>
            <w:tcW w:w="5183" w:type="dxa"/>
            <w:noWrap/>
            <w:hideMark/>
          </w:tcPr>
          <w:p w14:paraId="1BB363A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Consejo de Transporte Público</w:t>
            </w:r>
          </w:p>
        </w:tc>
        <w:tc>
          <w:tcPr>
            <w:tcW w:w="680" w:type="dxa"/>
            <w:noWrap/>
            <w:hideMark/>
          </w:tcPr>
          <w:p w14:paraId="4C01B8E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91F769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714942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B84A98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B69A36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EAF4360"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648194D2"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10315F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23</w:t>
            </w:r>
          </w:p>
        </w:tc>
        <w:tc>
          <w:tcPr>
            <w:tcW w:w="5183" w:type="dxa"/>
            <w:noWrap/>
            <w:hideMark/>
          </w:tcPr>
          <w:p w14:paraId="4E6F1CF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Consejo Nacional de Concesiones (CNC)</w:t>
            </w:r>
          </w:p>
        </w:tc>
        <w:tc>
          <w:tcPr>
            <w:tcW w:w="680" w:type="dxa"/>
            <w:noWrap/>
            <w:hideMark/>
          </w:tcPr>
          <w:p w14:paraId="17B7275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86C245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7BC111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4E8DBF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44ADA6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6A8CB0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3D94C07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A372EDA"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24</w:t>
            </w:r>
          </w:p>
        </w:tc>
        <w:tc>
          <w:tcPr>
            <w:tcW w:w="5183" w:type="dxa"/>
            <w:noWrap/>
            <w:hideMark/>
          </w:tcPr>
          <w:p w14:paraId="120D56F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Consejo Nacional de La Persona Adulta Mayor (CONAPAM)</w:t>
            </w:r>
          </w:p>
        </w:tc>
        <w:tc>
          <w:tcPr>
            <w:tcW w:w="680" w:type="dxa"/>
            <w:noWrap/>
            <w:hideMark/>
          </w:tcPr>
          <w:p w14:paraId="24CEC9B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C1CD52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92A466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5DBECA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113B47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BFE15B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358688F9"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EA84FAE"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25</w:t>
            </w:r>
          </w:p>
        </w:tc>
        <w:tc>
          <w:tcPr>
            <w:tcW w:w="5183" w:type="dxa"/>
            <w:noWrap/>
            <w:hideMark/>
          </w:tcPr>
          <w:p w14:paraId="6A056D6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Consejo Nacional de Rectores (CONARE)</w:t>
            </w:r>
          </w:p>
        </w:tc>
        <w:tc>
          <w:tcPr>
            <w:tcW w:w="680" w:type="dxa"/>
            <w:noWrap/>
            <w:hideMark/>
          </w:tcPr>
          <w:p w14:paraId="6D42BBD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42C31F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E86BAD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1BB5EB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C2E6A2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BAC214F"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435B390F"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54197EB"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26</w:t>
            </w:r>
          </w:p>
        </w:tc>
        <w:tc>
          <w:tcPr>
            <w:tcW w:w="5183" w:type="dxa"/>
            <w:noWrap/>
            <w:hideMark/>
          </w:tcPr>
          <w:p w14:paraId="406DD59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Consejo Nacional de Vialidad (CONAVI)</w:t>
            </w:r>
          </w:p>
        </w:tc>
        <w:tc>
          <w:tcPr>
            <w:tcW w:w="680" w:type="dxa"/>
            <w:noWrap/>
            <w:hideMark/>
          </w:tcPr>
          <w:p w14:paraId="50A78C5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6BFF64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D586B6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41DCF5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6A85D4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40E4AD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B99178D"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DA8CB72"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28</w:t>
            </w:r>
          </w:p>
        </w:tc>
        <w:tc>
          <w:tcPr>
            <w:tcW w:w="5183" w:type="dxa"/>
            <w:noWrap/>
            <w:hideMark/>
          </w:tcPr>
          <w:p w14:paraId="6F91837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Contraloría General de La Republica (CGR)</w:t>
            </w:r>
          </w:p>
        </w:tc>
        <w:tc>
          <w:tcPr>
            <w:tcW w:w="680" w:type="dxa"/>
            <w:noWrap/>
            <w:hideMark/>
          </w:tcPr>
          <w:p w14:paraId="3C6D6F2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D4D2B6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48766F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985C2F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B9517C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1BF1BC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2455AF24"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B2964E6"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29</w:t>
            </w:r>
          </w:p>
        </w:tc>
        <w:tc>
          <w:tcPr>
            <w:tcW w:w="5183" w:type="dxa"/>
            <w:noWrap/>
            <w:hideMark/>
          </w:tcPr>
          <w:p w14:paraId="1E109BE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Corporación Bananera Nacional (CORBANA)</w:t>
            </w:r>
          </w:p>
        </w:tc>
        <w:tc>
          <w:tcPr>
            <w:tcW w:w="680" w:type="dxa"/>
            <w:noWrap/>
            <w:hideMark/>
          </w:tcPr>
          <w:p w14:paraId="7E38D5C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56E720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91A94F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BD1E10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DB2E22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29B8BF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3C4C305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62CD033"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27</w:t>
            </w:r>
          </w:p>
        </w:tc>
        <w:tc>
          <w:tcPr>
            <w:tcW w:w="5183" w:type="dxa"/>
            <w:noWrap/>
            <w:hideMark/>
          </w:tcPr>
          <w:p w14:paraId="003BF00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Correos de Costa Rica</w:t>
            </w:r>
          </w:p>
        </w:tc>
        <w:tc>
          <w:tcPr>
            <w:tcW w:w="680" w:type="dxa"/>
            <w:noWrap/>
            <w:hideMark/>
          </w:tcPr>
          <w:p w14:paraId="1673D23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453B4F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A521FA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B96523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0DCF96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8597E3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0AB2BBA5"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1E66493"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28</w:t>
            </w:r>
          </w:p>
        </w:tc>
        <w:tc>
          <w:tcPr>
            <w:tcW w:w="5183" w:type="dxa"/>
            <w:noWrap/>
            <w:hideMark/>
          </w:tcPr>
          <w:p w14:paraId="0EAD2A6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Defensoría de los Habitantes</w:t>
            </w:r>
          </w:p>
        </w:tc>
        <w:tc>
          <w:tcPr>
            <w:tcW w:w="680" w:type="dxa"/>
            <w:noWrap/>
            <w:hideMark/>
          </w:tcPr>
          <w:p w14:paraId="243F8FF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582266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D08486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1CEBBD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307E1F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074C4E8"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0279211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5D567BC"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29</w:t>
            </w:r>
          </w:p>
        </w:tc>
        <w:tc>
          <w:tcPr>
            <w:tcW w:w="5183" w:type="dxa"/>
            <w:noWrap/>
            <w:hideMark/>
          </w:tcPr>
          <w:p w14:paraId="66F9530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Dirección de Inteligencia Y Seguridad Nacional (DIS)</w:t>
            </w:r>
          </w:p>
        </w:tc>
        <w:tc>
          <w:tcPr>
            <w:tcW w:w="680" w:type="dxa"/>
            <w:noWrap/>
            <w:hideMark/>
          </w:tcPr>
          <w:p w14:paraId="05F2916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5BFF04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F72D7C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3CC8EF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994561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AB7A67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A48F214"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BF6E8E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30</w:t>
            </w:r>
          </w:p>
        </w:tc>
        <w:tc>
          <w:tcPr>
            <w:tcW w:w="5183" w:type="dxa"/>
            <w:noWrap/>
            <w:hideMark/>
          </w:tcPr>
          <w:p w14:paraId="4A521B0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Dirección General de Aviación Civil</w:t>
            </w:r>
          </w:p>
        </w:tc>
        <w:tc>
          <w:tcPr>
            <w:tcW w:w="680" w:type="dxa"/>
            <w:noWrap/>
            <w:hideMark/>
          </w:tcPr>
          <w:p w14:paraId="4AE380A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4CA9D5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C021DC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83DC7C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5258DE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CC2DA9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7F68C5B"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B7BC2A8"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31</w:t>
            </w:r>
          </w:p>
        </w:tc>
        <w:tc>
          <w:tcPr>
            <w:tcW w:w="5183" w:type="dxa"/>
            <w:noWrap/>
            <w:hideMark/>
          </w:tcPr>
          <w:p w14:paraId="15E7754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Dirección General de Migración y Extranjería</w:t>
            </w:r>
          </w:p>
        </w:tc>
        <w:tc>
          <w:tcPr>
            <w:tcW w:w="680" w:type="dxa"/>
            <w:noWrap/>
            <w:hideMark/>
          </w:tcPr>
          <w:p w14:paraId="6B8A30B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F7C41E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CF968A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731974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48658B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107167E"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29B4BF31"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8735BD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32</w:t>
            </w:r>
          </w:p>
        </w:tc>
        <w:tc>
          <w:tcPr>
            <w:tcW w:w="5183" w:type="dxa"/>
            <w:noWrap/>
            <w:hideMark/>
          </w:tcPr>
          <w:p w14:paraId="6C965C2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Dirección General del Archivo Nacional (DGAN)</w:t>
            </w:r>
          </w:p>
        </w:tc>
        <w:tc>
          <w:tcPr>
            <w:tcW w:w="680" w:type="dxa"/>
            <w:noWrap/>
            <w:hideMark/>
          </w:tcPr>
          <w:p w14:paraId="5F5B493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C13E00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1853BD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F565B4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EF8DCB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C38CA4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1A2A885"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1773AD"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33</w:t>
            </w:r>
          </w:p>
        </w:tc>
        <w:tc>
          <w:tcPr>
            <w:tcW w:w="5183" w:type="dxa"/>
            <w:noWrap/>
            <w:hideMark/>
          </w:tcPr>
          <w:p w14:paraId="1CBD622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Dirección Nacional de Desarrollo de La Comunidad (DINADECO)</w:t>
            </w:r>
          </w:p>
        </w:tc>
        <w:tc>
          <w:tcPr>
            <w:tcW w:w="680" w:type="dxa"/>
            <w:noWrap/>
            <w:hideMark/>
          </w:tcPr>
          <w:p w14:paraId="286B55C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8C5699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8707A3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E0E01F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A6F884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3CCC4B3"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788B4B90"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827D793"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34</w:t>
            </w:r>
          </w:p>
        </w:tc>
        <w:tc>
          <w:tcPr>
            <w:tcW w:w="5183" w:type="dxa"/>
            <w:noWrap/>
            <w:hideMark/>
          </w:tcPr>
          <w:p w14:paraId="6B85F36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Dirección Nacional de Notariado (DNN)</w:t>
            </w:r>
          </w:p>
        </w:tc>
        <w:tc>
          <w:tcPr>
            <w:tcW w:w="680" w:type="dxa"/>
            <w:noWrap/>
            <w:hideMark/>
          </w:tcPr>
          <w:p w14:paraId="0CD7777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10E907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6C8A0E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9D0E9C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EA52B7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180781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4F4837F"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2DECB47"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35</w:t>
            </w:r>
          </w:p>
        </w:tc>
        <w:tc>
          <w:tcPr>
            <w:tcW w:w="5183" w:type="dxa"/>
            <w:noWrap/>
            <w:hideMark/>
          </w:tcPr>
          <w:p w14:paraId="08290EE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Editorial de Costa Rica S.A</w:t>
            </w:r>
          </w:p>
        </w:tc>
        <w:tc>
          <w:tcPr>
            <w:tcW w:w="680" w:type="dxa"/>
            <w:noWrap/>
            <w:hideMark/>
          </w:tcPr>
          <w:p w14:paraId="2A2E736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30E70C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C08DF1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B62CDD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880A22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9D895B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1A7CA78"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36555D7"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36</w:t>
            </w:r>
          </w:p>
        </w:tc>
        <w:tc>
          <w:tcPr>
            <w:tcW w:w="5183" w:type="dxa"/>
            <w:noWrap/>
            <w:hideMark/>
          </w:tcPr>
          <w:p w14:paraId="619ABD2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Empresa de Servicios Públicos De Heredia S.A.</w:t>
            </w:r>
          </w:p>
        </w:tc>
        <w:tc>
          <w:tcPr>
            <w:tcW w:w="680" w:type="dxa"/>
            <w:noWrap/>
            <w:hideMark/>
          </w:tcPr>
          <w:p w14:paraId="08571C7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0EAF96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16E18B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7B7F95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7E4F03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4E072F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4DE8A569"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D0F3BED"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37</w:t>
            </w:r>
          </w:p>
        </w:tc>
        <w:tc>
          <w:tcPr>
            <w:tcW w:w="5183" w:type="dxa"/>
            <w:noWrap/>
            <w:hideMark/>
          </w:tcPr>
          <w:p w14:paraId="4C7AE73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Fábrica Nacional de Licores (FANAL)</w:t>
            </w:r>
          </w:p>
        </w:tc>
        <w:tc>
          <w:tcPr>
            <w:tcW w:w="680" w:type="dxa"/>
            <w:noWrap/>
            <w:hideMark/>
          </w:tcPr>
          <w:p w14:paraId="2205D79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52D94A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0AD873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C2A198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6235A1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54407B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4397BFA9"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11E9451"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38</w:t>
            </w:r>
          </w:p>
        </w:tc>
        <w:tc>
          <w:tcPr>
            <w:tcW w:w="5183" w:type="dxa"/>
            <w:noWrap/>
            <w:hideMark/>
          </w:tcPr>
          <w:p w14:paraId="3D2CEC3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Fondo Nacional de Becas (FONABE)</w:t>
            </w:r>
          </w:p>
        </w:tc>
        <w:tc>
          <w:tcPr>
            <w:tcW w:w="680" w:type="dxa"/>
            <w:noWrap/>
            <w:hideMark/>
          </w:tcPr>
          <w:p w14:paraId="7F6E354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1FE829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BE5A64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428416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761662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E97E0C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2C37345D"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FA09029"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39</w:t>
            </w:r>
          </w:p>
        </w:tc>
        <w:tc>
          <w:tcPr>
            <w:tcW w:w="5183" w:type="dxa"/>
            <w:noWrap/>
            <w:hideMark/>
          </w:tcPr>
          <w:p w14:paraId="3DC73F9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Fondo Nacional de Financiamiento Forestal (FONAFIFO)</w:t>
            </w:r>
          </w:p>
        </w:tc>
        <w:tc>
          <w:tcPr>
            <w:tcW w:w="680" w:type="dxa"/>
            <w:noWrap/>
            <w:hideMark/>
          </w:tcPr>
          <w:p w14:paraId="1FDFAE1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3269C9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B515C5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B4F49A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BC91DF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D8ED96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01A0CB0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CE0957F"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40</w:t>
            </w:r>
          </w:p>
        </w:tc>
        <w:tc>
          <w:tcPr>
            <w:tcW w:w="5183" w:type="dxa"/>
            <w:noWrap/>
            <w:hideMark/>
          </w:tcPr>
          <w:p w14:paraId="2ED40E7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Grupo Mutual Alajuela</w:t>
            </w:r>
          </w:p>
        </w:tc>
        <w:tc>
          <w:tcPr>
            <w:tcW w:w="680" w:type="dxa"/>
            <w:noWrap/>
            <w:hideMark/>
          </w:tcPr>
          <w:p w14:paraId="183ACEB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318BE7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74E898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AFE0A4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EDC4B2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43B4A5E"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39400608"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099549D"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41</w:t>
            </w:r>
          </w:p>
        </w:tc>
        <w:tc>
          <w:tcPr>
            <w:tcW w:w="5183" w:type="dxa"/>
            <w:noWrap/>
            <w:hideMark/>
          </w:tcPr>
          <w:p w14:paraId="654FBDB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Hospital Monseñor Sanabria</w:t>
            </w:r>
          </w:p>
        </w:tc>
        <w:tc>
          <w:tcPr>
            <w:tcW w:w="680" w:type="dxa"/>
            <w:noWrap/>
            <w:hideMark/>
          </w:tcPr>
          <w:p w14:paraId="3F2CE63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887881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27DC81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E7197A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6D3F38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C335B3C"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550DFD9A"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83436B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42</w:t>
            </w:r>
          </w:p>
        </w:tc>
        <w:tc>
          <w:tcPr>
            <w:tcW w:w="5183" w:type="dxa"/>
            <w:noWrap/>
            <w:hideMark/>
          </w:tcPr>
          <w:p w14:paraId="36234A0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Hospital Nacional de Geriatría y Gerontología Dr. Raúl Blanco Cervantes</w:t>
            </w:r>
          </w:p>
        </w:tc>
        <w:tc>
          <w:tcPr>
            <w:tcW w:w="680" w:type="dxa"/>
            <w:noWrap/>
            <w:hideMark/>
          </w:tcPr>
          <w:p w14:paraId="02DC59B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A6BAE6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00DAFB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81A95E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EF4E4E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3FF528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F75D405"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4C6E0C1"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43</w:t>
            </w:r>
          </w:p>
        </w:tc>
        <w:tc>
          <w:tcPr>
            <w:tcW w:w="5183" w:type="dxa"/>
            <w:noWrap/>
            <w:hideMark/>
          </w:tcPr>
          <w:p w14:paraId="2CA8FD7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Imprenta Nacional</w:t>
            </w:r>
          </w:p>
        </w:tc>
        <w:tc>
          <w:tcPr>
            <w:tcW w:w="680" w:type="dxa"/>
            <w:noWrap/>
            <w:hideMark/>
          </w:tcPr>
          <w:p w14:paraId="6A11992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02D207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E446BE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1EB2BA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5F6266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F2CA9A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20D30F7A"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53A800"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44</w:t>
            </w:r>
          </w:p>
        </w:tc>
        <w:tc>
          <w:tcPr>
            <w:tcW w:w="5183" w:type="dxa"/>
            <w:noWrap/>
            <w:hideMark/>
          </w:tcPr>
          <w:p w14:paraId="2260B5E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Costarricense de Acueductos y Alcantarillados (AYA)</w:t>
            </w:r>
          </w:p>
        </w:tc>
        <w:tc>
          <w:tcPr>
            <w:tcW w:w="680" w:type="dxa"/>
            <w:noWrap/>
            <w:hideMark/>
          </w:tcPr>
          <w:p w14:paraId="7330528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FDC35C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E07060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E8011D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23A2FC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D473BE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21BE95EC"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C057204"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45</w:t>
            </w:r>
          </w:p>
        </w:tc>
        <w:tc>
          <w:tcPr>
            <w:tcW w:w="5183" w:type="dxa"/>
            <w:noWrap/>
            <w:hideMark/>
          </w:tcPr>
          <w:p w14:paraId="57F3F43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Costarricense de Electricidad (ICE)</w:t>
            </w:r>
          </w:p>
        </w:tc>
        <w:tc>
          <w:tcPr>
            <w:tcW w:w="680" w:type="dxa"/>
            <w:noWrap/>
            <w:hideMark/>
          </w:tcPr>
          <w:p w14:paraId="44ECF05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0CD3E4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CDC041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F9694D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ED8E0E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13823B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3F475A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78A36EF"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46</w:t>
            </w:r>
          </w:p>
        </w:tc>
        <w:tc>
          <w:tcPr>
            <w:tcW w:w="5183" w:type="dxa"/>
            <w:noWrap/>
            <w:hideMark/>
          </w:tcPr>
          <w:p w14:paraId="7C6A2B2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Costarricense de Ferrocarriles (INCOFER)</w:t>
            </w:r>
          </w:p>
        </w:tc>
        <w:tc>
          <w:tcPr>
            <w:tcW w:w="680" w:type="dxa"/>
            <w:noWrap/>
            <w:hideMark/>
          </w:tcPr>
          <w:p w14:paraId="1005E66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D64236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5B0070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D0A901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947194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7A083F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42862EB2"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4523B25"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47</w:t>
            </w:r>
          </w:p>
        </w:tc>
        <w:tc>
          <w:tcPr>
            <w:tcW w:w="5183" w:type="dxa"/>
            <w:noWrap/>
            <w:hideMark/>
          </w:tcPr>
          <w:p w14:paraId="51B3CC1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Costarricense de Investigación y Enseñanza en Nutrición y Salud, Inciencia</w:t>
            </w:r>
          </w:p>
        </w:tc>
        <w:tc>
          <w:tcPr>
            <w:tcW w:w="680" w:type="dxa"/>
            <w:noWrap/>
            <w:hideMark/>
          </w:tcPr>
          <w:p w14:paraId="79AA4DE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57C4B5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C627AE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911E24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E21DED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46F727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E93D36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0BA2DBE"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48</w:t>
            </w:r>
          </w:p>
        </w:tc>
        <w:tc>
          <w:tcPr>
            <w:tcW w:w="5183" w:type="dxa"/>
            <w:noWrap/>
            <w:hideMark/>
          </w:tcPr>
          <w:p w14:paraId="7179AC0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Costarricense de Pesca y Acuicultura (INCOPESCA)</w:t>
            </w:r>
          </w:p>
        </w:tc>
        <w:tc>
          <w:tcPr>
            <w:tcW w:w="680" w:type="dxa"/>
            <w:noWrap/>
            <w:hideMark/>
          </w:tcPr>
          <w:p w14:paraId="63C8CEB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9AE7A2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591DF5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83137D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338E26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852E12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98A6CC3"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8211E29"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49</w:t>
            </w:r>
          </w:p>
        </w:tc>
        <w:tc>
          <w:tcPr>
            <w:tcW w:w="5183" w:type="dxa"/>
            <w:noWrap/>
            <w:hideMark/>
          </w:tcPr>
          <w:p w14:paraId="198ED04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Costarricense de Puertos del Pacífico (INCOP)</w:t>
            </w:r>
          </w:p>
        </w:tc>
        <w:tc>
          <w:tcPr>
            <w:tcW w:w="680" w:type="dxa"/>
            <w:noWrap/>
            <w:hideMark/>
          </w:tcPr>
          <w:p w14:paraId="16D9154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112045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B3D0BE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FFF047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55A6D9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92B348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FD3C731"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E7B799D"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50</w:t>
            </w:r>
          </w:p>
        </w:tc>
        <w:tc>
          <w:tcPr>
            <w:tcW w:w="5183" w:type="dxa"/>
            <w:noWrap/>
            <w:hideMark/>
          </w:tcPr>
          <w:p w14:paraId="71F550C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Costarricense de Turismo (ICT)</w:t>
            </w:r>
          </w:p>
        </w:tc>
        <w:tc>
          <w:tcPr>
            <w:tcW w:w="680" w:type="dxa"/>
            <w:noWrap/>
            <w:hideMark/>
          </w:tcPr>
          <w:p w14:paraId="6B28CCD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747395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26F5B0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503092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0823A0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EF95F9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0F62C4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A8D8AC3"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51</w:t>
            </w:r>
          </w:p>
        </w:tc>
        <w:tc>
          <w:tcPr>
            <w:tcW w:w="5183" w:type="dxa"/>
            <w:noWrap/>
            <w:hideMark/>
          </w:tcPr>
          <w:p w14:paraId="031148D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Costarricense del Café (ICAFE)</w:t>
            </w:r>
          </w:p>
        </w:tc>
        <w:tc>
          <w:tcPr>
            <w:tcW w:w="680" w:type="dxa"/>
            <w:noWrap/>
            <w:hideMark/>
          </w:tcPr>
          <w:p w14:paraId="4924061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60AA41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145908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4C7194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522CC5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306A50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9985317"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F0D69C0"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52</w:t>
            </w:r>
          </w:p>
        </w:tc>
        <w:tc>
          <w:tcPr>
            <w:tcW w:w="5183" w:type="dxa"/>
            <w:noWrap/>
            <w:hideMark/>
          </w:tcPr>
          <w:p w14:paraId="309EA90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Costarricense del Deporte y la Recreación (ICODER)</w:t>
            </w:r>
          </w:p>
        </w:tc>
        <w:tc>
          <w:tcPr>
            <w:tcW w:w="680" w:type="dxa"/>
            <w:noWrap/>
            <w:hideMark/>
          </w:tcPr>
          <w:p w14:paraId="51C6D61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4112AA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19EBFE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235F73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B58AB3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3ADB22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091450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3B879C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53</w:t>
            </w:r>
          </w:p>
        </w:tc>
        <w:tc>
          <w:tcPr>
            <w:tcW w:w="5183" w:type="dxa"/>
            <w:noWrap/>
            <w:hideMark/>
          </w:tcPr>
          <w:p w14:paraId="27250B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Costarricense Sobre Drogas (ICD)</w:t>
            </w:r>
          </w:p>
        </w:tc>
        <w:tc>
          <w:tcPr>
            <w:tcW w:w="680" w:type="dxa"/>
            <w:noWrap/>
            <w:hideMark/>
          </w:tcPr>
          <w:p w14:paraId="53354F8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F381D6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6CD80F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4DA520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68AF5B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C017FD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6452BF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011D7B1"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54</w:t>
            </w:r>
          </w:p>
        </w:tc>
        <w:tc>
          <w:tcPr>
            <w:tcW w:w="5183" w:type="dxa"/>
            <w:noWrap/>
            <w:hideMark/>
          </w:tcPr>
          <w:p w14:paraId="178C52F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de Fomento y Asesoría Municipal (IFAM)</w:t>
            </w:r>
          </w:p>
        </w:tc>
        <w:tc>
          <w:tcPr>
            <w:tcW w:w="680" w:type="dxa"/>
            <w:noWrap/>
            <w:hideMark/>
          </w:tcPr>
          <w:p w14:paraId="7D582B1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A791AB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303D6B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550452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37AB96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6264C2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5244B3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6B3B556"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55</w:t>
            </w:r>
          </w:p>
        </w:tc>
        <w:tc>
          <w:tcPr>
            <w:tcW w:w="5183" w:type="dxa"/>
            <w:noWrap/>
            <w:hideMark/>
          </w:tcPr>
          <w:p w14:paraId="2740769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Desarrollo Rural (INDER) (Antiguo Instituto de Desarrollo Agrario (IDA)</w:t>
            </w:r>
          </w:p>
        </w:tc>
        <w:tc>
          <w:tcPr>
            <w:tcW w:w="680" w:type="dxa"/>
            <w:noWrap/>
            <w:hideMark/>
          </w:tcPr>
          <w:p w14:paraId="6F124A3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BB6AF4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A6FC5D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D046FD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E4261B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3AAA90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31519C78"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C6546C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56</w:t>
            </w:r>
          </w:p>
        </w:tc>
        <w:tc>
          <w:tcPr>
            <w:tcW w:w="5183" w:type="dxa"/>
            <w:noWrap/>
            <w:hideMark/>
          </w:tcPr>
          <w:p w14:paraId="44583D8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Mixto de Ayuda Social (IMAS)</w:t>
            </w:r>
          </w:p>
        </w:tc>
        <w:tc>
          <w:tcPr>
            <w:tcW w:w="680" w:type="dxa"/>
            <w:noWrap/>
            <w:hideMark/>
          </w:tcPr>
          <w:p w14:paraId="083DD8C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7B16D7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CC0F95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229942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024B1F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ACD4EB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4EE2D79D"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2EC8747"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57</w:t>
            </w:r>
          </w:p>
        </w:tc>
        <w:tc>
          <w:tcPr>
            <w:tcW w:w="5183" w:type="dxa"/>
            <w:noWrap/>
            <w:hideMark/>
          </w:tcPr>
          <w:p w14:paraId="670E86E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Nacional de Aprendizaje (INA)</w:t>
            </w:r>
          </w:p>
        </w:tc>
        <w:tc>
          <w:tcPr>
            <w:tcW w:w="680" w:type="dxa"/>
            <w:noWrap/>
            <w:hideMark/>
          </w:tcPr>
          <w:p w14:paraId="335A638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DA7EA9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DDF421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8F7AF7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113682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08EBC8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493202A"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F767CB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58</w:t>
            </w:r>
          </w:p>
        </w:tc>
        <w:tc>
          <w:tcPr>
            <w:tcW w:w="5183" w:type="dxa"/>
            <w:noWrap/>
            <w:hideMark/>
          </w:tcPr>
          <w:p w14:paraId="2F9AB0A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Nacional de Estadística y Censos (INEC)</w:t>
            </w:r>
          </w:p>
        </w:tc>
        <w:tc>
          <w:tcPr>
            <w:tcW w:w="680" w:type="dxa"/>
            <w:noWrap/>
            <w:hideMark/>
          </w:tcPr>
          <w:p w14:paraId="5C76BC9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22EF91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F163B8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2F6538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EF03A5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0FAE79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483CD8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B45A759"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59</w:t>
            </w:r>
          </w:p>
        </w:tc>
        <w:tc>
          <w:tcPr>
            <w:tcW w:w="5183" w:type="dxa"/>
            <w:noWrap/>
            <w:hideMark/>
          </w:tcPr>
          <w:p w14:paraId="6A31F51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Nacional de Fomento Cooperativo (INFOCOOP)</w:t>
            </w:r>
          </w:p>
        </w:tc>
        <w:tc>
          <w:tcPr>
            <w:tcW w:w="680" w:type="dxa"/>
            <w:noWrap/>
            <w:hideMark/>
          </w:tcPr>
          <w:p w14:paraId="19948BF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2CB1C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50FB38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666579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F3A51A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B5C71B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9ADD89F"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F708F87"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60</w:t>
            </w:r>
          </w:p>
        </w:tc>
        <w:tc>
          <w:tcPr>
            <w:tcW w:w="5183" w:type="dxa"/>
            <w:noWrap/>
            <w:hideMark/>
          </w:tcPr>
          <w:p w14:paraId="1C3F260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Nacional de la Mujer (INAMU)</w:t>
            </w:r>
          </w:p>
        </w:tc>
        <w:tc>
          <w:tcPr>
            <w:tcW w:w="680" w:type="dxa"/>
            <w:noWrap/>
            <w:hideMark/>
          </w:tcPr>
          <w:p w14:paraId="3DA1C6D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256BF3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4F34E6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5142EC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25237F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73AE69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2CD0F0E"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D5C1F74"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61</w:t>
            </w:r>
          </w:p>
        </w:tc>
        <w:tc>
          <w:tcPr>
            <w:tcW w:w="5183" w:type="dxa"/>
            <w:noWrap/>
            <w:hideMark/>
          </w:tcPr>
          <w:p w14:paraId="522FA13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Nacional de Seguros (INS)</w:t>
            </w:r>
          </w:p>
        </w:tc>
        <w:tc>
          <w:tcPr>
            <w:tcW w:w="680" w:type="dxa"/>
            <w:noWrap/>
            <w:hideMark/>
          </w:tcPr>
          <w:p w14:paraId="0848D9C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DD696F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C6AFB2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F326E5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CBF277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C5ACF3C"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743FE6D5"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FC77968"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62</w:t>
            </w:r>
          </w:p>
        </w:tc>
        <w:tc>
          <w:tcPr>
            <w:tcW w:w="5183" w:type="dxa"/>
            <w:noWrap/>
            <w:hideMark/>
          </w:tcPr>
          <w:p w14:paraId="6289653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Nacional de Vivienda y Urbanismo (INVU)</w:t>
            </w:r>
          </w:p>
        </w:tc>
        <w:tc>
          <w:tcPr>
            <w:tcW w:w="680" w:type="dxa"/>
            <w:noWrap/>
            <w:hideMark/>
          </w:tcPr>
          <w:p w14:paraId="4BFCF86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2D23FD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6E7EC5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A62287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2B6F77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0400D0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2D6FE5F"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28779CE"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63</w:t>
            </w:r>
          </w:p>
        </w:tc>
        <w:tc>
          <w:tcPr>
            <w:tcW w:w="5183" w:type="dxa"/>
            <w:noWrap/>
            <w:hideMark/>
          </w:tcPr>
          <w:p w14:paraId="3258BA9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Instituto sobre Alcoholismo y Farmacodependencia (IAFA)</w:t>
            </w:r>
          </w:p>
        </w:tc>
        <w:tc>
          <w:tcPr>
            <w:tcW w:w="680" w:type="dxa"/>
            <w:noWrap/>
            <w:hideMark/>
          </w:tcPr>
          <w:p w14:paraId="10FA014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20FC7E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274AAD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0CB676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64ABE1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C6AA8B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3C35D73C"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CE95B74"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64</w:t>
            </w:r>
          </w:p>
        </w:tc>
        <w:tc>
          <w:tcPr>
            <w:tcW w:w="5183" w:type="dxa"/>
            <w:noWrap/>
            <w:hideMark/>
          </w:tcPr>
          <w:p w14:paraId="3F663BE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Instituto Tecnológico de Cartago (TEC)</w:t>
            </w:r>
          </w:p>
        </w:tc>
        <w:tc>
          <w:tcPr>
            <w:tcW w:w="680" w:type="dxa"/>
            <w:noWrap/>
            <w:hideMark/>
          </w:tcPr>
          <w:p w14:paraId="50158AD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57C96E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7B6D1B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B99697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76F2B5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EDE2B7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09F19C5"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88EE752"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65</w:t>
            </w:r>
          </w:p>
        </w:tc>
        <w:tc>
          <w:tcPr>
            <w:tcW w:w="5183" w:type="dxa"/>
            <w:noWrap/>
            <w:hideMark/>
          </w:tcPr>
          <w:p w14:paraId="1D4D1C6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Junta Administrativa del Servicio Eléctrico de Cartago (JASEC)</w:t>
            </w:r>
          </w:p>
        </w:tc>
        <w:tc>
          <w:tcPr>
            <w:tcW w:w="680" w:type="dxa"/>
            <w:noWrap/>
            <w:hideMark/>
          </w:tcPr>
          <w:p w14:paraId="3247F07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CDFE20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3EF5BF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0A7233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6FFAA3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931A54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6A4D79E"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2AC6725"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66</w:t>
            </w:r>
          </w:p>
        </w:tc>
        <w:tc>
          <w:tcPr>
            <w:tcW w:w="5183" w:type="dxa"/>
            <w:noWrap/>
            <w:hideMark/>
          </w:tcPr>
          <w:p w14:paraId="6AFDC25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Junta Administrativa Portuaria (JAPDEVA)</w:t>
            </w:r>
          </w:p>
        </w:tc>
        <w:tc>
          <w:tcPr>
            <w:tcW w:w="680" w:type="dxa"/>
            <w:noWrap/>
            <w:hideMark/>
          </w:tcPr>
          <w:p w14:paraId="241583E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8714DB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DC0474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47BD6D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DEE0B1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02B428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D318CB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CF08B4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67</w:t>
            </w:r>
          </w:p>
        </w:tc>
        <w:tc>
          <w:tcPr>
            <w:tcW w:w="5183" w:type="dxa"/>
            <w:noWrap/>
            <w:hideMark/>
          </w:tcPr>
          <w:p w14:paraId="431D45C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Junta de Desarrollo Regional de la Zona Sur (JUDESUR)</w:t>
            </w:r>
          </w:p>
        </w:tc>
        <w:tc>
          <w:tcPr>
            <w:tcW w:w="680" w:type="dxa"/>
            <w:noWrap/>
            <w:hideMark/>
          </w:tcPr>
          <w:p w14:paraId="550A947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1EDB94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7E88BF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F4D5F2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648941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9661B4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0F2FAFB"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0EF65F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68</w:t>
            </w:r>
          </w:p>
        </w:tc>
        <w:tc>
          <w:tcPr>
            <w:tcW w:w="5183" w:type="dxa"/>
            <w:noWrap/>
            <w:hideMark/>
          </w:tcPr>
          <w:p w14:paraId="2B26FAA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Junta de Pensiones y Jubilaciones del Magisterio Nacional (JUPEMA)</w:t>
            </w:r>
          </w:p>
        </w:tc>
        <w:tc>
          <w:tcPr>
            <w:tcW w:w="680" w:type="dxa"/>
            <w:noWrap/>
            <w:hideMark/>
          </w:tcPr>
          <w:p w14:paraId="116B081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221A33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F7F0E1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84C0FB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903186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6CAE65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BB6E09F"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493608E"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69</w:t>
            </w:r>
          </w:p>
        </w:tc>
        <w:tc>
          <w:tcPr>
            <w:tcW w:w="5183" w:type="dxa"/>
            <w:noWrap/>
            <w:hideMark/>
          </w:tcPr>
          <w:p w14:paraId="74EBD43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Junta de Protección Social de San José (JPSS)</w:t>
            </w:r>
          </w:p>
        </w:tc>
        <w:tc>
          <w:tcPr>
            <w:tcW w:w="680" w:type="dxa"/>
            <w:noWrap/>
            <w:hideMark/>
          </w:tcPr>
          <w:p w14:paraId="163A324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1A6B87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3FF605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71F721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C680A8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E68F620"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57B7F1A3"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1D41A0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70</w:t>
            </w:r>
          </w:p>
        </w:tc>
        <w:tc>
          <w:tcPr>
            <w:tcW w:w="5183" w:type="dxa"/>
            <w:noWrap/>
            <w:hideMark/>
          </w:tcPr>
          <w:p w14:paraId="20F7C93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Liga Agrícola Industrial de la Caña de Azúcar (LAICA)</w:t>
            </w:r>
          </w:p>
        </w:tc>
        <w:tc>
          <w:tcPr>
            <w:tcW w:w="680" w:type="dxa"/>
            <w:noWrap/>
            <w:hideMark/>
          </w:tcPr>
          <w:p w14:paraId="5CEF768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9A23B2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FC456E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A45DE6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57258D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EC6B26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3F410C6C"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6BDE5BD"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71</w:t>
            </w:r>
          </w:p>
        </w:tc>
        <w:tc>
          <w:tcPr>
            <w:tcW w:w="5183" w:type="dxa"/>
            <w:noWrap/>
            <w:hideMark/>
          </w:tcPr>
          <w:p w14:paraId="7E23503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Agricultura (MAG)</w:t>
            </w:r>
          </w:p>
        </w:tc>
        <w:tc>
          <w:tcPr>
            <w:tcW w:w="680" w:type="dxa"/>
            <w:noWrap/>
            <w:hideMark/>
          </w:tcPr>
          <w:p w14:paraId="2BCA001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F713FC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6A97B1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EE3A5C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E5B924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A0725C7"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29B4A043"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D866FDD"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72</w:t>
            </w:r>
          </w:p>
        </w:tc>
        <w:tc>
          <w:tcPr>
            <w:tcW w:w="5183" w:type="dxa"/>
            <w:noWrap/>
            <w:hideMark/>
          </w:tcPr>
          <w:p w14:paraId="697E48F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Ambiente Y Energía (MINAE)</w:t>
            </w:r>
          </w:p>
        </w:tc>
        <w:tc>
          <w:tcPr>
            <w:tcW w:w="680" w:type="dxa"/>
            <w:noWrap/>
            <w:hideMark/>
          </w:tcPr>
          <w:p w14:paraId="2CC1800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65A2A2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C109D5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4711E1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29D6D5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C7899E5"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07B22F03"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174FB6A"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73</w:t>
            </w:r>
          </w:p>
        </w:tc>
        <w:tc>
          <w:tcPr>
            <w:tcW w:w="5183" w:type="dxa"/>
            <w:noWrap/>
            <w:hideMark/>
          </w:tcPr>
          <w:p w14:paraId="4FDDD98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Ciencia, Tecnología y Telecomunicaciones (MICITT)</w:t>
            </w:r>
          </w:p>
        </w:tc>
        <w:tc>
          <w:tcPr>
            <w:tcW w:w="680" w:type="dxa"/>
            <w:noWrap/>
            <w:hideMark/>
          </w:tcPr>
          <w:p w14:paraId="0CEE65C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0C398C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AC8CC1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44A078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70FFEA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BA9AF2E"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4D9BA75C"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9C23B83"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74</w:t>
            </w:r>
          </w:p>
        </w:tc>
        <w:tc>
          <w:tcPr>
            <w:tcW w:w="5183" w:type="dxa"/>
            <w:noWrap/>
            <w:hideMark/>
          </w:tcPr>
          <w:p w14:paraId="0B71FDF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Comercio Exterior (COMEX)</w:t>
            </w:r>
          </w:p>
        </w:tc>
        <w:tc>
          <w:tcPr>
            <w:tcW w:w="680" w:type="dxa"/>
            <w:noWrap/>
            <w:hideMark/>
          </w:tcPr>
          <w:p w14:paraId="2F298DE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834C8B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C0484A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46287C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300FB6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7BA354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3950E7BC"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7704CD6"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75</w:t>
            </w:r>
          </w:p>
        </w:tc>
        <w:tc>
          <w:tcPr>
            <w:tcW w:w="5183" w:type="dxa"/>
            <w:noWrap/>
            <w:hideMark/>
          </w:tcPr>
          <w:p w14:paraId="5A40947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Cultura, Juventud  (MCJ)</w:t>
            </w:r>
          </w:p>
        </w:tc>
        <w:tc>
          <w:tcPr>
            <w:tcW w:w="680" w:type="dxa"/>
            <w:noWrap/>
            <w:hideMark/>
          </w:tcPr>
          <w:p w14:paraId="7A8C9A8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F12270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6712C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EC385C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DEF23B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A390A6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9C1AA25"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FD6FAB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76</w:t>
            </w:r>
          </w:p>
        </w:tc>
        <w:tc>
          <w:tcPr>
            <w:tcW w:w="5183" w:type="dxa"/>
            <w:noWrap/>
            <w:hideMark/>
          </w:tcPr>
          <w:p w14:paraId="255D8CD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Economía, Industria y Comercio (MEIC)</w:t>
            </w:r>
          </w:p>
        </w:tc>
        <w:tc>
          <w:tcPr>
            <w:tcW w:w="680" w:type="dxa"/>
            <w:noWrap/>
            <w:hideMark/>
          </w:tcPr>
          <w:p w14:paraId="10F0AA8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BCA22F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4ACC44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2F2FAE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E90A70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E65282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F9A2172"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5A928B3"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77</w:t>
            </w:r>
          </w:p>
        </w:tc>
        <w:tc>
          <w:tcPr>
            <w:tcW w:w="5183" w:type="dxa"/>
            <w:noWrap/>
            <w:hideMark/>
          </w:tcPr>
          <w:p w14:paraId="758B645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Educación Pública (MEP)</w:t>
            </w:r>
          </w:p>
        </w:tc>
        <w:tc>
          <w:tcPr>
            <w:tcW w:w="680" w:type="dxa"/>
            <w:noWrap/>
            <w:hideMark/>
          </w:tcPr>
          <w:p w14:paraId="7F96686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83013C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7749E5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FEAC3D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C6832A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46CDE5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4CF13DA0"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701DF96"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78</w:t>
            </w:r>
          </w:p>
        </w:tc>
        <w:tc>
          <w:tcPr>
            <w:tcW w:w="5183" w:type="dxa"/>
            <w:noWrap/>
            <w:hideMark/>
          </w:tcPr>
          <w:p w14:paraId="1DEB812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Hacienda</w:t>
            </w:r>
          </w:p>
        </w:tc>
        <w:tc>
          <w:tcPr>
            <w:tcW w:w="680" w:type="dxa"/>
            <w:noWrap/>
            <w:hideMark/>
          </w:tcPr>
          <w:p w14:paraId="6EC6217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1FE8E7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DAC934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09B8E3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AAAE7D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98DB8A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2F75D942"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DD5F911"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79</w:t>
            </w:r>
          </w:p>
        </w:tc>
        <w:tc>
          <w:tcPr>
            <w:tcW w:w="5183" w:type="dxa"/>
            <w:noWrap/>
            <w:hideMark/>
          </w:tcPr>
          <w:p w14:paraId="74C0E82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Justicia y Paz</w:t>
            </w:r>
          </w:p>
        </w:tc>
        <w:tc>
          <w:tcPr>
            <w:tcW w:w="680" w:type="dxa"/>
            <w:noWrap/>
            <w:hideMark/>
          </w:tcPr>
          <w:p w14:paraId="2796037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110D9F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E86560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29F5C6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6A9B48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77FDE0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14A161D"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71C9895"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80</w:t>
            </w:r>
          </w:p>
        </w:tc>
        <w:tc>
          <w:tcPr>
            <w:tcW w:w="5183" w:type="dxa"/>
            <w:noWrap/>
            <w:hideMark/>
          </w:tcPr>
          <w:p w14:paraId="7F1683A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Obras Públicas y Transportes (MOPT)</w:t>
            </w:r>
          </w:p>
        </w:tc>
        <w:tc>
          <w:tcPr>
            <w:tcW w:w="680" w:type="dxa"/>
            <w:noWrap/>
            <w:hideMark/>
          </w:tcPr>
          <w:p w14:paraId="1DC4F98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8A6817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6C0C97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CFE501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3529AF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30F695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2F40C758"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23F1DA4"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81</w:t>
            </w:r>
          </w:p>
        </w:tc>
        <w:tc>
          <w:tcPr>
            <w:tcW w:w="5183" w:type="dxa"/>
            <w:noWrap/>
            <w:hideMark/>
          </w:tcPr>
          <w:p w14:paraId="2A6104E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Planificación Nacional y Política Económica (MIDEPLAN)</w:t>
            </w:r>
          </w:p>
        </w:tc>
        <w:tc>
          <w:tcPr>
            <w:tcW w:w="680" w:type="dxa"/>
            <w:noWrap/>
            <w:hideMark/>
          </w:tcPr>
          <w:p w14:paraId="6704FF9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5CDDAC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54F1AD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6C4E74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AE91B0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BBDE68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4B6CC413"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32C44B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82</w:t>
            </w:r>
          </w:p>
        </w:tc>
        <w:tc>
          <w:tcPr>
            <w:tcW w:w="5183" w:type="dxa"/>
            <w:noWrap/>
            <w:hideMark/>
          </w:tcPr>
          <w:p w14:paraId="345456A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Relaciones Exteriores y Culto (MRREE)</w:t>
            </w:r>
          </w:p>
        </w:tc>
        <w:tc>
          <w:tcPr>
            <w:tcW w:w="680" w:type="dxa"/>
            <w:noWrap/>
            <w:hideMark/>
          </w:tcPr>
          <w:p w14:paraId="228E07E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DD2400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5EFF45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17E4BC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52D1F4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F14C8E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437DA4FA"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6AAEB8A"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83</w:t>
            </w:r>
          </w:p>
        </w:tc>
        <w:tc>
          <w:tcPr>
            <w:tcW w:w="5183" w:type="dxa"/>
            <w:noWrap/>
            <w:hideMark/>
          </w:tcPr>
          <w:p w14:paraId="061AD06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Salud</w:t>
            </w:r>
          </w:p>
        </w:tc>
        <w:tc>
          <w:tcPr>
            <w:tcW w:w="680" w:type="dxa"/>
            <w:noWrap/>
            <w:hideMark/>
          </w:tcPr>
          <w:p w14:paraId="4DBA770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5763A4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3A6F96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7BBD4E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BE3FAA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414F812"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537B6B3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62EEDE0"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84</w:t>
            </w:r>
          </w:p>
        </w:tc>
        <w:tc>
          <w:tcPr>
            <w:tcW w:w="5183" w:type="dxa"/>
            <w:noWrap/>
            <w:hideMark/>
          </w:tcPr>
          <w:p w14:paraId="1168892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Seguridad Pública</w:t>
            </w:r>
          </w:p>
        </w:tc>
        <w:tc>
          <w:tcPr>
            <w:tcW w:w="680" w:type="dxa"/>
            <w:noWrap/>
            <w:hideMark/>
          </w:tcPr>
          <w:p w14:paraId="7262BB1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0B143D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B84762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3B4C6D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93C69A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DAD7C0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4FFCC4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0CCD494"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85</w:t>
            </w:r>
          </w:p>
        </w:tc>
        <w:tc>
          <w:tcPr>
            <w:tcW w:w="5183" w:type="dxa"/>
            <w:noWrap/>
            <w:hideMark/>
          </w:tcPr>
          <w:p w14:paraId="0D04031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Ministerio de Trabajo Y Seguridad Social (MTSS)</w:t>
            </w:r>
          </w:p>
        </w:tc>
        <w:tc>
          <w:tcPr>
            <w:tcW w:w="680" w:type="dxa"/>
            <w:noWrap/>
            <w:hideMark/>
          </w:tcPr>
          <w:p w14:paraId="6DF659B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EDCF10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D17D69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6901D0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1B7260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A3BD8F9"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2D2EE03F"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44BC6EF"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86</w:t>
            </w:r>
          </w:p>
        </w:tc>
        <w:tc>
          <w:tcPr>
            <w:tcW w:w="5183" w:type="dxa"/>
            <w:noWrap/>
            <w:hideMark/>
          </w:tcPr>
          <w:p w14:paraId="2A1B993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Ministerio de Vivienda y Asentamientos (MIVAH)</w:t>
            </w:r>
          </w:p>
        </w:tc>
        <w:tc>
          <w:tcPr>
            <w:tcW w:w="680" w:type="dxa"/>
            <w:noWrap/>
            <w:hideMark/>
          </w:tcPr>
          <w:p w14:paraId="7FD0A28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1F7D19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B30385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3EE3B1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55D0DB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DE4CA3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B5A4169"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A5DAE2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87</w:t>
            </w:r>
          </w:p>
        </w:tc>
        <w:tc>
          <w:tcPr>
            <w:tcW w:w="5183" w:type="dxa"/>
            <w:noWrap/>
            <w:hideMark/>
          </w:tcPr>
          <w:p w14:paraId="76EFAD4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Acosta</w:t>
            </w:r>
          </w:p>
        </w:tc>
        <w:tc>
          <w:tcPr>
            <w:tcW w:w="680" w:type="dxa"/>
            <w:noWrap/>
            <w:hideMark/>
          </w:tcPr>
          <w:p w14:paraId="63D7F1E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E674AA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BA7196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4860AF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55E6B7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24D5247"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0E039FFC"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08C4E4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88</w:t>
            </w:r>
          </w:p>
        </w:tc>
        <w:tc>
          <w:tcPr>
            <w:tcW w:w="5183" w:type="dxa"/>
            <w:noWrap/>
            <w:hideMark/>
          </w:tcPr>
          <w:p w14:paraId="31A3103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Alajuela</w:t>
            </w:r>
          </w:p>
        </w:tc>
        <w:tc>
          <w:tcPr>
            <w:tcW w:w="680" w:type="dxa"/>
            <w:noWrap/>
            <w:hideMark/>
          </w:tcPr>
          <w:p w14:paraId="57B210C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53B8E3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8CBDCF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FE8319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9C43DF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88AC06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29529E3E"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C1D505A"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89</w:t>
            </w:r>
          </w:p>
        </w:tc>
        <w:tc>
          <w:tcPr>
            <w:tcW w:w="5183" w:type="dxa"/>
            <w:noWrap/>
            <w:hideMark/>
          </w:tcPr>
          <w:p w14:paraId="4BA0635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Aserrí</w:t>
            </w:r>
          </w:p>
        </w:tc>
        <w:tc>
          <w:tcPr>
            <w:tcW w:w="680" w:type="dxa"/>
            <w:noWrap/>
            <w:hideMark/>
          </w:tcPr>
          <w:p w14:paraId="630ECD0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9DB6A2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183CB9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824F6A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D1840D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67D207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5BF9E7E"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18D686B"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90</w:t>
            </w:r>
          </w:p>
        </w:tc>
        <w:tc>
          <w:tcPr>
            <w:tcW w:w="5183" w:type="dxa"/>
            <w:noWrap/>
            <w:hideMark/>
          </w:tcPr>
          <w:p w14:paraId="08EBBE0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Atenas</w:t>
            </w:r>
          </w:p>
        </w:tc>
        <w:tc>
          <w:tcPr>
            <w:tcW w:w="680" w:type="dxa"/>
            <w:noWrap/>
            <w:hideMark/>
          </w:tcPr>
          <w:p w14:paraId="56E6786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2A6AB9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F10957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A42F47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5AA155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9023BDE"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06BD9F8E"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33048B9"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91</w:t>
            </w:r>
          </w:p>
        </w:tc>
        <w:tc>
          <w:tcPr>
            <w:tcW w:w="5183" w:type="dxa"/>
            <w:noWrap/>
            <w:hideMark/>
          </w:tcPr>
          <w:p w14:paraId="7E62D24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Barva</w:t>
            </w:r>
          </w:p>
        </w:tc>
        <w:tc>
          <w:tcPr>
            <w:tcW w:w="680" w:type="dxa"/>
            <w:noWrap/>
            <w:hideMark/>
          </w:tcPr>
          <w:p w14:paraId="3029A4F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8A97F6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98961B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675A3E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A1CF41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3CDBC4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36269CFB"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39ECC4D"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92</w:t>
            </w:r>
          </w:p>
        </w:tc>
        <w:tc>
          <w:tcPr>
            <w:tcW w:w="5183" w:type="dxa"/>
            <w:noWrap/>
            <w:hideMark/>
          </w:tcPr>
          <w:p w14:paraId="6E1064E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Belén</w:t>
            </w:r>
          </w:p>
        </w:tc>
        <w:tc>
          <w:tcPr>
            <w:tcW w:w="680" w:type="dxa"/>
            <w:noWrap/>
            <w:hideMark/>
          </w:tcPr>
          <w:p w14:paraId="05FC2EA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696F88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8C8A1B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3F1BBE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BC3855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6DFE37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5D66E39"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26124FA"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93</w:t>
            </w:r>
          </w:p>
        </w:tc>
        <w:tc>
          <w:tcPr>
            <w:tcW w:w="5183" w:type="dxa"/>
            <w:noWrap/>
            <w:hideMark/>
          </w:tcPr>
          <w:p w14:paraId="63D42B7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Buenos Aires de Puntarenas</w:t>
            </w:r>
          </w:p>
        </w:tc>
        <w:tc>
          <w:tcPr>
            <w:tcW w:w="680" w:type="dxa"/>
            <w:noWrap/>
            <w:hideMark/>
          </w:tcPr>
          <w:p w14:paraId="5D953BB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121D6F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A41A87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3E9918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282061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130BD2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21D5C2C8"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E4F326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94</w:t>
            </w:r>
          </w:p>
        </w:tc>
        <w:tc>
          <w:tcPr>
            <w:tcW w:w="5183" w:type="dxa"/>
            <w:noWrap/>
            <w:hideMark/>
          </w:tcPr>
          <w:p w14:paraId="1F4CC3D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Cañas</w:t>
            </w:r>
          </w:p>
        </w:tc>
        <w:tc>
          <w:tcPr>
            <w:tcW w:w="680" w:type="dxa"/>
            <w:noWrap/>
            <w:hideMark/>
          </w:tcPr>
          <w:p w14:paraId="5F024B6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61373A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348A13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45D82D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2712D0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AD82A27"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6D5C283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09E375E"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95</w:t>
            </w:r>
          </w:p>
        </w:tc>
        <w:tc>
          <w:tcPr>
            <w:tcW w:w="5183" w:type="dxa"/>
            <w:noWrap/>
            <w:hideMark/>
          </w:tcPr>
          <w:p w14:paraId="70BEDA4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Carrillo</w:t>
            </w:r>
          </w:p>
        </w:tc>
        <w:tc>
          <w:tcPr>
            <w:tcW w:w="680" w:type="dxa"/>
            <w:noWrap/>
            <w:hideMark/>
          </w:tcPr>
          <w:p w14:paraId="64C8BA6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3A498F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C8D7D3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B08C0D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9DB554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E63FFE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5632D51"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37F98C8"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96</w:t>
            </w:r>
          </w:p>
        </w:tc>
        <w:tc>
          <w:tcPr>
            <w:tcW w:w="5183" w:type="dxa"/>
            <w:noWrap/>
            <w:hideMark/>
          </w:tcPr>
          <w:p w14:paraId="5114D93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Cartago</w:t>
            </w:r>
          </w:p>
        </w:tc>
        <w:tc>
          <w:tcPr>
            <w:tcW w:w="680" w:type="dxa"/>
            <w:noWrap/>
            <w:hideMark/>
          </w:tcPr>
          <w:p w14:paraId="27DD10E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6DE618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C5082A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7B1689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C05F83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C1038E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3EFD3583"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8CE2F9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97</w:t>
            </w:r>
          </w:p>
        </w:tc>
        <w:tc>
          <w:tcPr>
            <w:tcW w:w="5183" w:type="dxa"/>
            <w:noWrap/>
            <w:hideMark/>
          </w:tcPr>
          <w:p w14:paraId="3905031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Corredores</w:t>
            </w:r>
          </w:p>
        </w:tc>
        <w:tc>
          <w:tcPr>
            <w:tcW w:w="680" w:type="dxa"/>
            <w:noWrap/>
            <w:hideMark/>
          </w:tcPr>
          <w:p w14:paraId="10550CA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9D4624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3CBFDD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3D4E63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991653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9E3B0AA"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25D4050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2FAAE9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98</w:t>
            </w:r>
          </w:p>
        </w:tc>
        <w:tc>
          <w:tcPr>
            <w:tcW w:w="5183" w:type="dxa"/>
            <w:noWrap/>
            <w:hideMark/>
          </w:tcPr>
          <w:p w14:paraId="3607D18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Coto Brus</w:t>
            </w:r>
          </w:p>
        </w:tc>
        <w:tc>
          <w:tcPr>
            <w:tcW w:w="680" w:type="dxa"/>
            <w:noWrap/>
            <w:hideMark/>
          </w:tcPr>
          <w:p w14:paraId="64FF2F7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CCCE43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B5CC33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0BAD52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A8FF26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F539DA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D6CABA0"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1D0E26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99</w:t>
            </w:r>
          </w:p>
        </w:tc>
        <w:tc>
          <w:tcPr>
            <w:tcW w:w="5183" w:type="dxa"/>
            <w:noWrap/>
            <w:hideMark/>
          </w:tcPr>
          <w:p w14:paraId="558BABD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Curridabat</w:t>
            </w:r>
          </w:p>
        </w:tc>
        <w:tc>
          <w:tcPr>
            <w:tcW w:w="680" w:type="dxa"/>
            <w:noWrap/>
            <w:hideMark/>
          </w:tcPr>
          <w:p w14:paraId="6A4B558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71E004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4FC850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687EEA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7DA59D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EB5BEFC"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701FC06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D01106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100</w:t>
            </w:r>
          </w:p>
        </w:tc>
        <w:tc>
          <w:tcPr>
            <w:tcW w:w="5183" w:type="dxa"/>
            <w:noWrap/>
            <w:hideMark/>
          </w:tcPr>
          <w:p w14:paraId="3CDF6C9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Escazú</w:t>
            </w:r>
          </w:p>
        </w:tc>
        <w:tc>
          <w:tcPr>
            <w:tcW w:w="680" w:type="dxa"/>
            <w:noWrap/>
            <w:hideMark/>
          </w:tcPr>
          <w:p w14:paraId="62553AD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ABF121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F26AB5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988FDE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7816F1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B8ECB7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495F4D77"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D2465FE"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101</w:t>
            </w:r>
          </w:p>
        </w:tc>
        <w:tc>
          <w:tcPr>
            <w:tcW w:w="5183" w:type="dxa"/>
            <w:noWrap/>
            <w:hideMark/>
          </w:tcPr>
          <w:p w14:paraId="4869747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Esparza</w:t>
            </w:r>
          </w:p>
        </w:tc>
        <w:tc>
          <w:tcPr>
            <w:tcW w:w="680" w:type="dxa"/>
            <w:noWrap/>
            <w:hideMark/>
          </w:tcPr>
          <w:p w14:paraId="10A53BF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DF9501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081428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9E281F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1A0FF2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8686E61"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47C3E867"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82B99FB"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102</w:t>
            </w:r>
          </w:p>
        </w:tc>
        <w:tc>
          <w:tcPr>
            <w:tcW w:w="5183" w:type="dxa"/>
            <w:noWrap/>
            <w:hideMark/>
          </w:tcPr>
          <w:p w14:paraId="6BBF248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Flores</w:t>
            </w:r>
          </w:p>
        </w:tc>
        <w:tc>
          <w:tcPr>
            <w:tcW w:w="680" w:type="dxa"/>
            <w:noWrap/>
            <w:hideMark/>
          </w:tcPr>
          <w:p w14:paraId="1EE9099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D20ADE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9BC79E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E9D0D2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A0E452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0805ED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3F8B394D"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1B78006"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103</w:t>
            </w:r>
          </w:p>
        </w:tc>
        <w:tc>
          <w:tcPr>
            <w:tcW w:w="5183" w:type="dxa"/>
            <w:noWrap/>
            <w:hideMark/>
          </w:tcPr>
          <w:p w14:paraId="37B7406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Garabito</w:t>
            </w:r>
          </w:p>
        </w:tc>
        <w:tc>
          <w:tcPr>
            <w:tcW w:w="680" w:type="dxa"/>
            <w:noWrap/>
            <w:hideMark/>
          </w:tcPr>
          <w:p w14:paraId="0C2E30D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314934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761F4B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3F5CA9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76B342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6BD199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25CA1E64"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B222673"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104</w:t>
            </w:r>
          </w:p>
        </w:tc>
        <w:tc>
          <w:tcPr>
            <w:tcW w:w="5183" w:type="dxa"/>
            <w:noWrap/>
            <w:hideMark/>
          </w:tcPr>
          <w:p w14:paraId="4829DDB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Goicoechea</w:t>
            </w:r>
          </w:p>
        </w:tc>
        <w:tc>
          <w:tcPr>
            <w:tcW w:w="680" w:type="dxa"/>
            <w:noWrap/>
            <w:hideMark/>
          </w:tcPr>
          <w:p w14:paraId="092AE04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CEB3C9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77F5DA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C393E8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B2110A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E89568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3E223E0A"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5FC9A99"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105</w:t>
            </w:r>
          </w:p>
        </w:tc>
        <w:tc>
          <w:tcPr>
            <w:tcW w:w="5183" w:type="dxa"/>
            <w:noWrap/>
            <w:hideMark/>
          </w:tcPr>
          <w:p w14:paraId="56C3C93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Golfito</w:t>
            </w:r>
          </w:p>
        </w:tc>
        <w:tc>
          <w:tcPr>
            <w:tcW w:w="680" w:type="dxa"/>
            <w:noWrap/>
            <w:hideMark/>
          </w:tcPr>
          <w:p w14:paraId="300BBA9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D03259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CC6557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FCAA6B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C6B134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2CE4463"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5D97300C"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2B2E8B1"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106</w:t>
            </w:r>
          </w:p>
        </w:tc>
        <w:tc>
          <w:tcPr>
            <w:tcW w:w="5183" w:type="dxa"/>
            <w:noWrap/>
            <w:hideMark/>
          </w:tcPr>
          <w:p w14:paraId="64959DB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Grecia</w:t>
            </w:r>
          </w:p>
        </w:tc>
        <w:tc>
          <w:tcPr>
            <w:tcW w:w="680" w:type="dxa"/>
            <w:noWrap/>
            <w:hideMark/>
          </w:tcPr>
          <w:p w14:paraId="5AD0B0B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318A65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3B2181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2541FC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054BA5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D7D5E4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83C00C5"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C1B2B8E"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107</w:t>
            </w:r>
          </w:p>
        </w:tc>
        <w:tc>
          <w:tcPr>
            <w:tcW w:w="5183" w:type="dxa"/>
            <w:noWrap/>
            <w:hideMark/>
          </w:tcPr>
          <w:p w14:paraId="0962AF5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Guácimo</w:t>
            </w:r>
          </w:p>
        </w:tc>
        <w:tc>
          <w:tcPr>
            <w:tcW w:w="680" w:type="dxa"/>
            <w:noWrap/>
            <w:hideMark/>
          </w:tcPr>
          <w:p w14:paraId="29ED84C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80ACC6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14FB77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A3F728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F1A8F5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8F91F8C"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7FD65925"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0F66747"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108</w:t>
            </w:r>
          </w:p>
        </w:tc>
        <w:tc>
          <w:tcPr>
            <w:tcW w:w="5183" w:type="dxa"/>
            <w:noWrap/>
            <w:hideMark/>
          </w:tcPr>
          <w:p w14:paraId="57E4BCD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Heredia</w:t>
            </w:r>
          </w:p>
        </w:tc>
        <w:tc>
          <w:tcPr>
            <w:tcW w:w="680" w:type="dxa"/>
            <w:noWrap/>
            <w:hideMark/>
          </w:tcPr>
          <w:p w14:paraId="7D2EAC0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28B3DE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2D3606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226F95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C382A8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1C3CE8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39024DF"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D26CD76"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109</w:t>
            </w:r>
          </w:p>
        </w:tc>
        <w:tc>
          <w:tcPr>
            <w:tcW w:w="5183" w:type="dxa"/>
            <w:noWrap/>
            <w:hideMark/>
          </w:tcPr>
          <w:p w14:paraId="34A50CC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Hojancha</w:t>
            </w:r>
          </w:p>
        </w:tc>
        <w:tc>
          <w:tcPr>
            <w:tcW w:w="680" w:type="dxa"/>
            <w:noWrap/>
            <w:hideMark/>
          </w:tcPr>
          <w:p w14:paraId="3AE8BB4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D65BCC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3090A2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CD7091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08423B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85B59C8"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449D110C"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BE36955"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110</w:t>
            </w:r>
          </w:p>
        </w:tc>
        <w:tc>
          <w:tcPr>
            <w:tcW w:w="5183" w:type="dxa"/>
            <w:noWrap/>
            <w:hideMark/>
          </w:tcPr>
          <w:p w14:paraId="3E4CD86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la Unión</w:t>
            </w:r>
          </w:p>
        </w:tc>
        <w:tc>
          <w:tcPr>
            <w:tcW w:w="680" w:type="dxa"/>
            <w:noWrap/>
            <w:hideMark/>
          </w:tcPr>
          <w:p w14:paraId="251741F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84B347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828A3D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A22CE3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44EF78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47A585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90FDFE7"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8A3DFB6"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111</w:t>
            </w:r>
          </w:p>
        </w:tc>
        <w:tc>
          <w:tcPr>
            <w:tcW w:w="5183" w:type="dxa"/>
            <w:noWrap/>
            <w:hideMark/>
          </w:tcPr>
          <w:p w14:paraId="21CA279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Liberia</w:t>
            </w:r>
          </w:p>
        </w:tc>
        <w:tc>
          <w:tcPr>
            <w:tcW w:w="680" w:type="dxa"/>
            <w:noWrap/>
            <w:hideMark/>
          </w:tcPr>
          <w:p w14:paraId="635E1AA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C31857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2D9BEF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67F949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774720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94722D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43B67D1"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10D864C"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112</w:t>
            </w:r>
          </w:p>
        </w:tc>
        <w:tc>
          <w:tcPr>
            <w:tcW w:w="5183" w:type="dxa"/>
            <w:noWrap/>
            <w:hideMark/>
          </w:tcPr>
          <w:p w14:paraId="1EE5E23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Limón</w:t>
            </w:r>
          </w:p>
        </w:tc>
        <w:tc>
          <w:tcPr>
            <w:tcW w:w="680" w:type="dxa"/>
            <w:noWrap/>
            <w:hideMark/>
          </w:tcPr>
          <w:p w14:paraId="7424DC5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526709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EBB240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C6311F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FB410E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9F983A0"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0571AB5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60A9CD6"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113</w:t>
            </w:r>
          </w:p>
        </w:tc>
        <w:tc>
          <w:tcPr>
            <w:tcW w:w="5183" w:type="dxa"/>
            <w:noWrap/>
            <w:hideMark/>
          </w:tcPr>
          <w:p w14:paraId="602F846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Montes De Oca</w:t>
            </w:r>
          </w:p>
        </w:tc>
        <w:tc>
          <w:tcPr>
            <w:tcW w:w="680" w:type="dxa"/>
            <w:noWrap/>
            <w:hideMark/>
          </w:tcPr>
          <w:p w14:paraId="19F721E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8DCADD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506659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174A3E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2BFCDE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34ABE4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1BE0760"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4C604E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114</w:t>
            </w:r>
          </w:p>
        </w:tc>
        <w:tc>
          <w:tcPr>
            <w:tcW w:w="5183" w:type="dxa"/>
            <w:noWrap/>
            <w:hideMark/>
          </w:tcPr>
          <w:p w14:paraId="6BB656B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Montes de Oro</w:t>
            </w:r>
          </w:p>
        </w:tc>
        <w:tc>
          <w:tcPr>
            <w:tcW w:w="680" w:type="dxa"/>
            <w:noWrap/>
            <w:hideMark/>
          </w:tcPr>
          <w:p w14:paraId="4D29E48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B30E97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E79F6B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7FB8F7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8BAD9B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33EF80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064C6AF3"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22DB7C1"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115</w:t>
            </w:r>
          </w:p>
        </w:tc>
        <w:tc>
          <w:tcPr>
            <w:tcW w:w="5183" w:type="dxa"/>
            <w:noWrap/>
            <w:hideMark/>
          </w:tcPr>
          <w:p w14:paraId="6EEF44B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Mora</w:t>
            </w:r>
          </w:p>
        </w:tc>
        <w:tc>
          <w:tcPr>
            <w:tcW w:w="680" w:type="dxa"/>
            <w:noWrap/>
            <w:hideMark/>
          </w:tcPr>
          <w:p w14:paraId="6C2B5BD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66F5EF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99BCA9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8B7723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0A5C21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214780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D21B75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CAFA2AD"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116</w:t>
            </w:r>
          </w:p>
        </w:tc>
        <w:tc>
          <w:tcPr>
            <w:tcW w:w="5183" w:type="dxa"/>
            <w:noWrap/>
            <w:hideMark/>
          </w:tcPr>
          <w:p w14:paraId="39009BB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Moravia</w:t>
            </w:r>
          </w:p>
        </w:tc>
        <w:tc>
          <w:tcPr>
            <w:tcW w:w="680" w:type="dxa"/>
            <w:noWrap/>
            <w:hideMark/>
          </w:tcPr>
          <w:p w14:paraId="67639A2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31D5A4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81D31A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306C82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63A77D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C150306"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382719F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182C331"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117</w:t>
            </w:r>
          </w:p>
        </w:tc>
        <w:tc>
          <w:tcPr>
            <w:tcW w:w="5183" w:type="dxa"/>
            <w:noWrap/>
            <w:hideMark/>
          </w:tcPr>
          <w:p w14:paraId="5087192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Nandayure</w:t>
            </w:r>
          </w:p>
        </w:tc>
        <w:tc>
          <w:tcPr>
            <w:tcW w:w="680" w:type="dxa"/>
            <w:noWrap/>
            <w:hideMark/>
          </w:tcPr>
          <w:p w14:paraId="69DBB0C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C1A699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C51736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BC56DC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010E44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311423E"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58591FE8"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F1B0F16"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118</w:t>
            </w:r>
          </w:p>
        </w:tc>
        <w:tc>
          <w:tcPr>
            <w:tcW w:w="5183" w:type="dxa"/>
            <w:noWrap/>
            <w:hideMark/>
          </w:tcPr>
          <w:p w14:paraId="5C1EA55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Oreamuno</w:t>
            </w:r>
          </w:p>
        </w:tc>
        <w:tc>
          <w:tcPr>
            <w:tcW w:w="680" w:type="dxa"/>
            <w:noWrap/>
            <w:hideMark/>
          </w:tcPr>
          <w:p w14:paraId="1EB9FF7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089E0D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483F1A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4D9463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E67839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42F5EEA"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7E6C7DF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E29EC82"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119</w:t>
            </w:r>
          </w:p>
        </w:tc>
        <w:tc>
          <w:tcPr>
            <w:tcW w:w="5183" w:type="dxa"/>
            <w:noWrap/>
            <w:hideMark/>
          </w:tcPr>
          <w:p w14:paraId="5963204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Orotina</w:t>
            </w:r>
          </w:p>
        </w:tc>
        <w:tc>
          <w:tcPr>
            <w:tcW w:w="680" w:type="dxa"/>
            <w:noWrap/>
            <w:hideMark/>
          </w:tcPr>
          <w:p w14:paraId="4ADA10B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AC137C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18545E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0D67CE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F81FA7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873681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56BB3FB"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329374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120</w:t>
            </w:r>
          </w:p>
        </w:tc>
        <w:tc>
          <w:tcPr>
            <w:tcW w:w="5183" w:type="dxa"/>
            <w:noWrap/>
            <w:hideMark/>
          </w:tcPr>
          <w:p w14:paraId="7F3ABB2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Osa</w:t>
            </w:r>
          </w:p>
        </w:tc>
        <w:tc>
          <w:tcPr>
            <w:tcW w:w="680" w:type="dxa"/>
            <w:noWrap/>
            <w:hideMark/>
          </w:tcPr>
          <w:p w14:paraId="0B2B3DB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4EA2D2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6D21A8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551DC6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081506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BF587E8"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13E185FD"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FE4A92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121</w:t>
            </w:r>
          </w:p>
        </w:tc>
        <w:tc>
          <w:tcPr>
            <w:tcW w:w="5183" w:type="dxa"/>
            <w:noWrap/>
            <w:hideMark/>
          </w:tcPr>
          <w:p w14:paraId="423B336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Paraíso De Cartago</w:t>
            </w:r>
          </w:p>
        </w:tc>
        <w:tc>
          <w:tcPr>
            <w:tcW w:w="680" w:type="dxa"/>
            <w:noWrap/>
            <w:hideMark/>
          </w:tcPr>
          <w:p w14:paraId="74310E7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905406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984806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B3F49E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6033C9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5388209"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1B9CDB5F"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DDDF1FB"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122</w:t>
            </w:r>
          </w:p>
        </w:tc>
        <w:tc>
          <w:tcPr>
            <w:tcW w:w="5183" w:type="dxa"/>
            <w:noWrap/>
            <w:hideMark/>
          </w:tcPr>
          <w:p w14:paraId="5699176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Parrita</w:t>
            </w:r>
          </w:p>
        </w:tc>
        <w:tc>
          <w:tcPr>
            <w:tcW w:w="680" w:type="dxa"/>
            <w:noWrap/>
            <w:hideMark/>
          </w:tcPr>
          <w:p w14:paraId="4A24AA5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BA8454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176243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C58E63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985A73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76C2A3A"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1FFA6283"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B989F5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123</w:t>
            </w:r>
          </w:p>
        </w:tc>
        <w:tc>
          <w:tcPr>
            <w:tcW w:w="5183" w:type="dxa"/>
            <w:noWrap/>
            <w:hideMark/>
          </w:tcPr>
          <w:p w14:paraId="592649B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Pérez Zeledón</w:t>
            </w:r>
          </w:p>
        </w:tc>
        <w:tc>
          <w:tcPr>
            <w:tcW w:w="680" w:type="dxa"/>
            <w:noWrap/>
            <w:hideMark/>
          </w:tcPr>
          <w:p w14:paraId="2CE6BB7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AB175E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504096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6EAD93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A9BF06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B62FFC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3B6A8BB"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3A1F58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124</w:t>
            </w:r>
          </w:p>
        </w:tc>
        <w:tc>
          <w:tcPr>
            <w:tcW w:w="5183" w:type="dxa"/>
            <w:noWrap/>
            <w:hideMark/>
          </w:tcPr>
          <w:p w14:paraId="575465B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Poás</w:t>
            </w:r>
          </w:p>
        </w:tc>
        <w:tc>
          <w:tcPr>
            <w:tcW w:w="680" w:type="dxa"/>
            <w:noWrap/>
            <w:hideMark/>
          </w:tcPr>
          <w:p w14:paraId="5BCF60D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DC2205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B60AC4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6BF3DB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1AEBE3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7C3202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46BC8AB7"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173D8E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125</w:t>
            </w:r>
          </w:p>
        </w:tc>
        <w:tc>
          <w:tcPr>
            <w:tcW w:w="5183" w:type="dxa"/>
            <w:noWrap/>
            <w:hideMark/>
          </w:tcPr>
          <w:p w14:paraId="3456423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Pococí</w:t>
            </w:r>
          </w:p>
        </w:tc>
        <w:tc>
          <w:tcPr>
            <w:tcW w:w="680" w:type="dxa"/>
            <w:noWrap/>
            <w:hideMark/>
          </w:tcPr>
          <w:p w14:paraId="6C36CEF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DAF6A5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D8E9E7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360EF9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8D3BFC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E712C48"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15960540"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A22700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126</w:t>
            </w:r>
          </w:p>
        </w:tc>
        <w:tc>
          <w:tcPr>
            <w:tcW w:w="5183" w:type="dxa"/>
            <w:noWrap/>
            <w:hideMark/>
          </w:tcPr>
          <w:p w14:paraId="2630F62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San Carlos</w:t>
            </w:r>
          </w:p>
        </w:tc>
        <w:tc>
          <w:tcPr>
            <w:tcW w:w="680" w:type="dxa"/>
            <w:noWrap/>
            <w:hideMark/>
          </w:tcPr>
          <w:p w14:paraId="3F5F99F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1A39A1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C5B1EA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EB3AC4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DE5282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B429D37"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18791C44"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754198E"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127</w:t>
            </w:r>
          </w:p>
        </w:tc>
        <w:tc>
          <w:tcPr>
            <w:tcW w:w="5183" w:type="dxa"/>
            <w:noWrap/>
            <w:hideMark/>
          </w:tcPr>
          <w:p w14:paraId="306523F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San Isidro De Heredia</w:t>
            </w:r>
          </w:p>
        </w:tc>
        <w:tc>
          <w:tcPr>
            <w:tcW w:w="680" w:type="dxa"/>
            <w:noWrap/>
            <w:hideMark/>
          </w:tcPr>
          <w:p w14:paraId="3322A51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324005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72E61D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96CA3E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7D918E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E9E42E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B7B7A28"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93E24DB"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128</w:t>
            </w:r>
          </w:p>
        </w:tc>
        <w:tc>
          <w:tcPr>
            <w:tcW w:w="5183" w:type="dxa"/>
            <w:noWrap/>
            <w:hideMark/>
          </w:tcPr>
          <w:p w14:paraId="6018E2B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San José</w:t>
            </w:r>
          </w:p>
        </w:tc>
        <w:tc>
          <w:tcPr>
            <w:tcW w:w="680" w:type="dxa"/>
            <w:noWrap/>
            <w:hideMark/>
          </w:tcPr>
          <w:p w14:paraId="35BD60F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D3DB43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3370BE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1CF7A2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F8ED61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5B8BEC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536EF1C"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B0A54A1"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129</w:t>
            </w:r>
          </w:p>
        </w:tc>
        <w:tc>
          <w:tcPr>
            <w:tcW w:w="5183" w:type="dxa"/>
            <w:noWrap/>
            <w:hideMark/>
          </w:tcPr>
          <w:p w14:paraId="665D875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San Rafael De Heredia</w:t>
            </w:r>
          </w:p>
        </w:tc>
        <w:tc>
          <w:tcPr>
            <w:tcW w:w="680" w:type="dxa"/>
            <w:noWrap/>
            <w:hideMark/>
          </w:tcPr>
          <w:p w14:paraId="2D1D1EA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12E63B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BB3EB9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061318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BB6F59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4F990D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064EA784"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77FDEF0"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130</w:t>
            </w:r>
          </w:p>
        </w:tc>
        <w:tc>
          <w:tcPr>
            <w:tcW w:w="5183" w:type="dxa"/>
            <w:noWrap/>
            <w:hideMark/>
          </w:tcPr>
          <w:p w14:paraId="3F9867E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San Ramón</w:t>
            </w:r>
          </w:p>
        </w:tc>
        <w:tc>
          <w:tcPr>
            <w:tcW w:w="680" w:type="dxa"/>
            <w:noWrap/>
            <w:hideMark/>
          </w:tcPr>
          <w:p w14:paraId="54D6735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2139E7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5B2BDC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5275BE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1FC7F6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EAFB8B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A5D4D30"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27D34A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131</w:t>
            </w:r>
          </w:p>
        </w:tc>
        <w:tc>
          <w:tcPr>
            <w:tcW w:w="5183" w:type="dxa"/>
            <w:noWrap/>
            <w:hideMark/>
          </w:tcPr>
          <w:p w14:paraId="685A430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Santa Ana</w:t>
            </w:r>
          </w:p>
        </w:tc>
        <w:tc>
          <w:tcPr>
            <w:tcW w:w="680" w:type="dxa"/>
            <w:noWrap/>
            <w:hideMark/>
          </w:tcPr>
          <w:p w14:paraId="69CB867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FF2724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316C89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C1AF91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1D1C65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7B29DD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A47DB5E"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8672AB8"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132</w:t>
            </w:r>
          </w:p>
        </w:tc>
        <w:tc>
          <w:tcPr>
            <w:tcW w:w="5183" w:type="dxa"/>
            <w:noWrap/>
            <w:hideMark/>
          </w:tcPr>
          <w:p w14:paraId="48DE871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Santa Bárbara</w:t>
            </w:r>
          </w:p>
        </w:tc>
        <w:tc>
          <w:tcPr>
            <w:tcW w:w="680" w:type="dxa"/>
            <w:noWrap/>
            <w:hideMark/>
          </w:tcPr>
          <w:p w14:paraId="1BF2858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1F9810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BD6F1F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00D21B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2D4326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19EF5C9"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15B72ADA"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1B7533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133</w:t>
            </w:r>
          </w:p>
        </w:tc>
        <w:tc>
          <w:tcPr>
            <w:tcW w:w="5183" w:type="dxa"/>
            <w:noWrap/>
            <w:hideMark/>
          </w:tcPr>
          <w:p w14:paraId="0100CD1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Santa Cruz</w:t>
            </w:r>
          </w:p>
        </w:tc>
        <w:tc>
          <w:tcPr>
            <w:tcW w:w="680" w:type="dxa"/>
            <w:noWrap/>
            <w:hideMark/>
          </w:tcPr>
          <w:p w14:paraId="16C97A6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A68682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26F824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AE4EC0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B4092E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7507C23"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64F895F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EF3A265"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134</w:t>
            </w:r>
          </w:p>
        </w:tc>
        <w:tc>
          <w:tcPr>
            <w:tcW w:w="5183" w:type="dxa"/>
            <w:noWrap/>
            <w:hideMark/>
          </w:tcPr>
          <w:p w14:paraId="53A9D52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Santo Domingo de Heredia</w:t>
            </w:r>
          </w:p>
        </w:tc>
        <w:tc>
          <w:tcPr>
            <w:tcW w:w="680" w:type="dxa"/>
            <w:noWrap/>
            <w:hideMark/>
          </w:tcPr>
          <w:p w14:paraId="3564336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014F39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ED3089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0FE071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C62BC9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2E9F8C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B995F56"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F9D4799"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135</w:t>
            </w:r>
          </w:p>
        </w:tc>
        <w:tc>
          <w:tcPr>
            <w:tcW w:w="5183" w:type="dxa"/>
            <w:noWrap/>
            <w:hideMark/>
          </w:tcPr>
          <w:p w14:paraId="3FD08B8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Sarapiquí</w:t>
            </w:r>
          </w:p>
        </w:tc>
        <w:tc>
          <w:tcPr>
            <w:tcW w:w="680" w:type="dxa"/>
            <w:noWrap/>
            <w:hideMark/>
          </w:tcPr>
          <w:p w14:paraId="3E8596C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5F731B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73BA50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637E6E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9A2C79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4D0069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5C2A0E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5EB64F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136</w:t>
            </w:r>
          </w:p>
        </w:tc>
        <w:tc>
          <w:tcPr>
            <w:tcW w:w="5183" w:type="dxa"/>
            <w:noWrap/>
            <w:hideMark/>
          </w:tcPr>
          <w:p w14:paraId="728C77B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Siquirres</w:t>
            </w:r>
          </w:p>
        </w:tc>
        <w:tc>
          <w:tcPr>
            <w:tcW w:w="680" w:type="dxa"/>
            <w:noWrap/>
            <w:hideMark/>
          </w:tcPr>
          <w:p w14:paraId="11DAC07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01571D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1BC0C5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631F59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5A6899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0F9AF30"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758C655E"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6A376E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137</w:t>
            </w:r>
          </w:p>
        </w:tc>
        <w:tc>
          <w:tcPr>
            <w:tcW w:w="5183" w:type="dxa"/>
            <w:noWrap/>
            <w:hideMark/>
          </w:tcPr>
          <w:p w14:paraId="7816B7C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Talamanca</w:t>
            </w:r>
          </w:p>
        </w:tc>
        <w:tc>
          <w:tcPr>
            <w:tcW w:w="680" w:type="dxa"/>
            <w:noWrap/>
            <w:hideMark/>
          </w:tcPr>
          <w:p w14:paraId="1A95C21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E4389A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004A65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D6DDCA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AB5C67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7A8C5B02"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5791BE8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619BAEA"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138</w:t>
            </w:r>
          </w:p>
        </w:tc>
        <w:tc>
          <w:tcPr>
            <w:tcW w:w="5183" w:type="dxa"/>
            <w:noWrap/>
            <w:hideMark/>
          </w:tcPr>
          <w:p w14:paraId="44246EE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Tarrazú</w:t>
            </w:r>
          </w:p>
        </w:tc>
        <w:tc>
          <w:tcPr>
            <w:tcW w:w="680" w:type="dxa"/>
            <w:noWrap/>
            <w:hideMark/>
          </w:tcPr>
          <w:p w14:paraId="44BFBA8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A64D89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9D5EE1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F1D103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904494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47CECB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6CA4C77"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D466A81"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139</w:t>
            </w:r>
          </w:p>
        </w:tc>
        <w:tc>
          <w:tcPr>
            <w:tcW w:w="5183" w:type="dxa"/>
            <w:noWrap/>
            <w:hideMark/>
          </w:tcPr>
          <w:p w14:paraId="6170923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Tibás</w:t>
            </w:r>
          </w:p>
        </w:tc>
        <w:tc>
          <w:tcPr>
            <w:tcW w:w="680" w:type="dxa"/>
            <w:noWrap/>
            <w:hideMark/>
          </w:tcPr>
          <w:p w14:paraId="36A5CFB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21DD4B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D75CC9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B36967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8375CB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EED0AF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C3AFC9F"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9E46DE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140</w:t>
            </w:r>
          </w:p>
        </w:tc>
        <w:tc>
          <w:tcPr>
            <w:tcW w:w="5183" w:type="dxa"/>
            <w:noWrap/>
            <w:hideMark/>
          </w:tcPr>
          <w:p w14:paraId="5B59671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Municipalidad de Turrialba</w:t>
            </w:r>
          </w:p>
        </w:tc>
        <w:tc>
          <w:tcPr>
            <w:tcW w:w="680" w:type="dxa"/>
            <w:noWrap/>
            <w:hideMark/>
          </w:tcPr>
          <w:p w14:paraId="0FD41F2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7BC713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35108F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6D2342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92804E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F50DD00"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7E5E6559"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DFA65B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141</w:t>
            </w:r>
          </w:p>
        </w:tc>
        <w:tc>
          <w:tcPr>
            <w:tcW w:w="5183" w:type="dxa"/>
            <w:noWrap/>
            <w:hideMark/>
          </w:tcPr>
          <w:p w14:paraId="0A1DAE7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Municipalidad de Vásquez De Coronado</w:t>
            </w:r>
          </w:p>
        </w:tc>
        <w:tc>
          <w:tcPr>
            <w:tcW w:w="680" w:type="dxa"/>
            <w:noWrap/>
            <w:hideMark/>
          </w:tcPr>
          <w:p w14:paraId="2FBA1A7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19612E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56039A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790A0A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270BAA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9B48BA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05F6743D"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66305D1"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142</w:t>
            </w:r>
          </w:p>
        </w:tc>
        <w:tc>
          <w:tcPr>
            <w:tcW w:w="5183" w:type="dxa"/>
            <w:noWrap/>
            <w:hideMark/>
          </w:tcPr>
          <w:p w14:paraId="1FE2C76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Museo de Arte Costarricense</w:t>
            </w:r>
          </w:p>
        </w:tc>
        <w:tc>
          <w:tcPr>
            <w:tcW w:w="680" w:type="dxa"/>
            <w:noWrap/>
            <w:hideMark/>
          </w:tcPr>
          <w:p w14:paraId="5A0918F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A0F349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4623B1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78087F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8EDD11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67A8969"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302761B8"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AD5FBA2"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143</w:t>
            </w:r>
          </w:p>
        </w:tc>
        <w:tc>
          <w:tcPr>
            <w:tcW w:w="5183" w:type="dxa"/>
            <w:noWrap/>
            <w:hideMark/>
          </w:tcPr>
          <w:p w14:paraId="5E236DE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Museo Nacional</w:t>
            </w:r>
          </w:p>
        </w:tc>
        <w:tc>
          <w:tcPr>
            <w:tcW w:w="680" w:type="dxa"/>
            <w:noWrap/>
            <w:hideMark/>
          </w:tcPr>
          <w:p w14:paraId="103B76D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544B7DC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F2553C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60B9EE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6DC0B5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2AADE85"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170D077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1DC9BAB"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144</w:t>
            </w:r>
          </w:p>
        </w:tc>
        <w:tc>
          <w:tcPr>
            <w:tcW w:w="5183" w:type="dxa"/>
            <w:noWrap/>
            <w:hideMark/>
          </w:tcPr>
          <w:p w14:paraId="374CE86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Oficina Nacional de Semillas (ONS)</w:t>
            </w:r>
          </w:p>
        </w:tc>
        <w:tc>
          <w:tcPr>
            <w:tcW w:w="680" w:type="dxa"/>
            <w:noWrap/>
            <w:hideMark/>
          </w:tcPr>
          <w:p w14:paraId="1C7DA0C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A8E8DF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9E9577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7CD00B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EA144D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BDA0C0D"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7E9AE29D"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9E36725"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145</w:t>
            </w:r>
          </w:p>
        </w:tc>
        <w:tc>
          <w:tcPr>
            <w:tcW w:w="5183" w:type="dxa"/>
            <w:noWrap/>
            <w:hideMark/>
          </w:tcPr>
          <w:p w14:paraId="53F8E24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Patronato Nacional de La Infancia (PANI)</w:t>
            </w:r>
          </w:p>
        </w:tc>
        <w:tc>
          <w:tcPr>
            <w:tcW w:w="680" w:type="dxa"/>
            <w:noWrap/>
            <w:hideMark/>
          </w:tcPr>
          <w:p w14:paraId="0E0D0CC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5B0832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FA4BDA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E0D3A0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C78614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138E44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A429FC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F4AB48"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146</w:t>
            </w:r>
          </w:p>
        </w:tc>
        <w:tc>
          <w:tcPr>
            <w:tcW w:w="5183" w:type="dxa"/>
            <w:noWrap/>
            <w:hideMark/>
          </w:tcPr>
          <w:p w14:paraId="435BAD1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Poder Judicial</w:t>
            </w:r>
          </w:p>
        </w:tc>
        <w:tc>
          <w:tcPr>
            <w:tcW w:w="680" w:type="dxa"/>
            <w:noWrap/>
            <w:hideMark/>
          </w:tcPr>
          <w:p w14:paraId="2F0D281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6C7220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070C76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19D722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0306E6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6D08160B"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6DEFA987"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8F871D5"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147</w:t>
            </w:r>
          </w:p>
        </w:tc>
        <w:tc>
          <w:tcPr>
            <w:tcW w:w="5183" w:type="dxa"/>
            <w:noWrap/>
            <w:hideMark/>
          </w:tcPr>
          <w:p w14:paraId="0E33B85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Popular Pensiones S.A.</w:t>
            </w:r>
          </w:p>
        </w:tc>
        <w:tc>
          <w:tcPr>
            <w:tcW w:w="680" w:type="dxa"/>
            <w:noWrap/>
            <w:hideMark/>
          </w:tcPr>
          <w:p w14:paraId="7134CCA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119B3E9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0BBC00B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675381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9F6882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1D11A6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4EA4458E"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E478965"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148</w:t>
            </w:r>
          </w:p>
        </w:tc>
        <w:tc>
          <w:tcPr>
            <w:tcW w:w="5183" w:type="dxa"/>
            <w:noWrap/>
            <w:hideMark/>
          </w:tcPr>
          <w:p w14:paraId="396EAA2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Presidencia de La Republica</w:t>
            </w:r>
          </w:p>
        </w:tc>
        <w:tc>
          <w:tcPr>
            <w:tcW w:w="680" w:type="dxa"/>
            <w:noWrap/>
            <w:hideMark/>
          </w:tcPr>
          <w:p w14:paraId="6582786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952DAC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A9F83F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4978B9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4D3751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F403E5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A23E99F"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0F0D2A09"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149</w:t>
            </w:r>
          </w:p>
        </w:tc>
        <w:tc>
          <w:tcPr>
            <w:tcW w:w="5183" w:type="dxa"/>
            <w:noWrap/>
            <w:hideMark/>
          </w:tcPr>
          <w:p w14:paraId="07125FC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Procuraduría General de La República (PGR)</w:t>
            </w:r>
          </w:p>
        </w:tc>
        <w:tc>
          <w:tcPr>
            <w:tcW w:w="680" w:type="dxa"/>
            <w:noWrap/>
            <w:hideMark/>
          </w:tcPr>
          <w:p w14:paraId="66F049B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B48490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F261B5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3F46A6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2A2739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D394BF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5E788B1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EC636BA"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150</w:t>
            </w:r>
          </w:p>
        </w:tc>
        <w:tc>
          <w:tcPr>
            <w:tcW w:w="5183" w:type="dxa"/>
            <w:noWrap/>
            <w:hideMark/>
          </w:tcPr>
          <w:p w14:paraId="452E5FB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Programa Integral de Mercadeo Agropecuario (PIMA)</w:t>
            </w:r>
          </w:p>
        </w:tc>
        <w:tc>
          <w:tcPr>
            <w:tcW w:w="680" w:type="dxa"/>
            <w:noWrap/>
            <w:hideMark/>
          </w:tcPr>
          <w:p w14:paraId="1F1B3A9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2A45CE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68D92F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04AECD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56D8E6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6FE225A"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72D9391A"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517C0A1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151</w:t>
            </w:r>
          </w:p>
        </w:tc>
        <w:tc>
          <w:tcPr>
            <w:tcW w:w="5183" w:type="dxa"/>
            <w:noWrap/>
            <w:hideMark/>
          </w:tcPr>
          <w:p w14:paraId="1E9C7C1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Promotora de Comercio Exterior (PROCOMER)</w:t>
            </w:r>
          </w:p>
        </w:tc>
        <w:tc>
          <w:tcPr>
            <w:tcW w:w="680" w:type="dxa"/>
            <w:noWrap/>
            <w:hideMark/>
          </w:tcPr>
          <w:p w14:paraId="745210E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B5EE90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31F52B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3B4284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1799BF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161DFF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75C05B6"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27093C2"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152</w:t>
            </w:r>
          </w:p>
        </w:tc>
        <w:tc>
          <w:tcPr>
            <w:tcW w:w="5183" w:type="dxa"/>
            <w:noWrap/>
            <w:hideMark/>
          </w:tcPr>
          <w:p w14:paraId="03E12FF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Radiográfica de Costa Rica (RACSA)</w:t>
            </w:r>
          </w:p>
        </w:tc>
        <w:tc>
          <w:tcPr>
            <w:tcW w:w="680" w:type="dxa"/>
            <w:noWrap/>
            <w:hideMark/>
          </w:tcPr>
          <w:p w14:paraId="70F9592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8DD881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5BA448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5E4B48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1EEA10C"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AA5027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B69341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05414B3"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153</w:t>
            </w:r>
          </w:p>
        </w:tc>
        <w:tc>
          <w:tcPr>
            <w:tcW w:w="5183" w:type="dxa"/>
            <w:noWrap/>
            <w:hideMark/>
          </w:tcPr>
          <w:p w14:paraId="54AADAF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Refinadora Costarricense de Petróleo (RECOPE)</w:t>
            </w:r>
          </w:p>
        </w:tc>
        <w:tc>
          <w:tcPr>
            <w:tcW w:w="680" w:type="dxa"/>
            <w:noWrap/>
            <w:hideMark/>
          </w:tcPr>
          <w:p w14:paraId="399FEC1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730C91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59FE4B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52169E31"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8BFA9D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BE3C0D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B5B471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DFF7313"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154</w:t>
            </w:r>
          </w:p>
        </w:tc>
        <w:tc>
          <w:tcPr>
            <w:tcW w:w="5183" w:type="dxa"/>
            <w:noWrap/>
            <w:hideMark/>
          </w:tcPr>
          <w:p w14:paraId="0BEE865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Registro Nacional</w:t>
            </w:r>
          </w:p>
        </w:tc>
        <w:tc>
          <w:tcPr>
            <w:tcW w:w="680" w:type="dxa"/>
            <w:noWrap/>
            <w:hideMark/>
          </w:tcPr>
          <w:p w14:paraId="58A429F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CEAE6B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AA0AE6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114E7AC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ACA1A30"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65B65C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736C6D61"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77C272F3"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155</w:t>
            </w:r>
          </w:p>
        </w:tc>
        <w:tc>
          <w:tcPr>
            <w:tcW w:w="5183" w:type="dxa"/>
            <w:noWrap/>
            <w:hideMark/>
          </w:tcPr>
          <w:p w14:paraId="79C0C66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Servicio Fitosanitario del Estado</w:t>
            </w:r>
          </w:p>
        </w:tc>
        <w:tc>
          <w:tcPr>
            <w:tcW w:w="680" w:type="dxa"/>
            <w:noWrap/>
            <w:hideMark/>
          </w:tcPr>
          <w:p w14:paraId="7387DCB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E2C4CF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490DDB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496B4B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49F6DEE"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34905B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77193B54"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21AD1BC6"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156</w:t>
            </w:r>
          </w:p>
        </w:tc>
        <w:tc>
          <w:tcPr>
            <w:tcW w:w="5183" w:type="dxa"/>
            <w:noWrap/>
            <w:hideMark/>
          </w:tcPr>
          <w:p w14:paraId="090F466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Sistema Nacional de Aguas Subterráneas, Riego y Avenamiento (SENARA)</w:t>
            </w:r>
          </w:p>
        </w:tc>
        <w:tc>
          <w:tcPr>
            <w:tcW w:w="680" w:type="dxa"/>
            <w:noWrap/>
            <w:hideMark/>
          </w:tcPr>
          <w:p w14:paraId="2A0BF41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79F218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ED6A48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B723FA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901ED5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39FB41D4" w14:textId="77777777" w:rsidR="009949F6" w:rsidRPr="00407698" w:rsidRDefault="0063677D"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0</w:t>
            </w:r>
          </w:p>
        </w:tc>
      </w:tr>
      <w:tr w:rsidR="003F501B" w:rsidRPr="00407698" w14:paraId="48F71618"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E05F323"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157</w:t>
            </w:r>
          </w:p>
        </w:tc>
        <w:tc>
          <w:tcPr>
            <w:tcW w:w="5183" w:type="dxa"/>
            <w:noWrap/>
            <w:hideMark/>
          </w:tcPr>
          <w:p w14:paraId="654D55A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Sistema Nacional de Áreas de Conservación (SINAC)</w:t>
            </w:r>
          </w:p>
        </w:tc>
        <w:tc>
          <w:tcPr>
            <w:tcW w:w="680" w:type="dxa"/>
            <w:noWrap/>
            <w:hideMark/>
          </w:tcPr>
          <w:p w14:paraId="62DC2D5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33C3CFC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A07AE9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3C266E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23F333E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41A8898" w14:textId="77777777" w:rsidR="009949F6" w:rsidRPr="00407698" w:rsidRDefault="0063677D"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0</w:t>
            </w:r>
          </w:p>
        </w:tc>
      </w:tr>
      <w:tr w:rsidR="003F501B" w:rsidRPr="00407698" w14:paraId="5602B637"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A177F9E"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158</w:t>
            </w:r>
          </w:p>
        </w:tc>
        <w:tc>
          <w:tcPr>
            <w:tcW w:w="5183" w:type="dxa"/>
            <w:noWrap/>
            <w:hideMark/>
          </w:tcPr>
          <w:p w14:paraId="0287B5A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Sistema Nacional de Radio y Televisión S.A. (SINART S.A.)</w:t>
            </w:r>
          </w:p>
        </w:tc>
        <w:tc>
          <w:tcPr>
            <w:tcW w:w="680" w:type="dxa"/>
            <w:noWrap/>
            <w:hideMark/>
          </w:tcPr>
          <w:p w14:paraId="2B4FA42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95A1F2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169EC9F"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7A72DE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439811B1"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BEB896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6891F84B"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115439B"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159</w:t>
            </w:r>
          </w:p>
        </w:tc>
        <w:tc>
          <w:tcPr>
            <w:tcW w:w="5183" w:type="dxa"/>
            <w:noWrap/>
            <w:hideMark/>
          </w:tcPr>
          <w:p w14:paraId="67CF732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Superintendencia de Telecomunicaciones (SUTEL)</w:t>
            </w:r>
          </w:p>
        </w:tc>
        <w:tc>
          <w:tcPr>
            <w:tcW w:w="680" w:type="dxa"/>
            <w:noWrap/>
            <w:hideMark/>
          </w:tcPr>
          <w:p w14:paraId="1C81F4A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4092FE03"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6227890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0</w:t>
            </w:r>
          </w:p>
        </w:tc>
        <w:tc>
          <w:tcPr>
            <w:tcW w:w="680" w:type="dxa"/>
            <w:noWrap/>
            <w:hideMark/>
          </w:tcPr>
          <w:p w14:paraId="21C1173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07A4062D"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A8DAF7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143A309"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2EF43B1"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160</w:t>
            </w:r>
          </w:p>
        </w:tc>
        <w:tc>
          <w:tcPr>
            <w:tcW w:w="5183" w:type="dxa"/>
            <w:noWrap/>
            <w:hideMark/>
          </w:tcPr>
          <w:p w14:paraId="7004AD1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Superintendencia General de Valores (SUGEVAL)</w:t>
            </w:r>
          </w:p>
        </w:tc>
        <w:tc>
          <w:tcPr>
            <w:tcW w:w="680" w:type="dxa"/>
            <w:noWrap/>
            <w:hideMark/>
          </w:tcPr>
          <w:p w14:paraId="7E71831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3BE7EC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1E12F43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582F738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F6F55C3"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D39E64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1BC0BF0B"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6AD24C0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161</w:t>
            </w:r>
          </w:p>
        </w:tc>
        <w:tc>
          <w:tcPr>
            <w:tcW w:w="5183" w:type="dxa"/>
            <w:noWrap/>
            <w:hideMark/>
          </w:tcPr>
          <w:p w14:paraId="20BCD9B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Teatro Nacional</w:t>
            </w:r>
          </w:p>
        </w:tc>
        <w:tc>
          <w:tcPr>
            <w:tcW w:w="680" w:type="dxa"/>
            <w:noWrap/>
            <w:hideMark/>
          </w:tcPr>
          <w:p w14:paraId="07F8AAC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9BC6CB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CA3427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E3A43A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C41FE9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4ACFAA30"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C96600F"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C6DC709"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162</w:t>
            </w:r>
          </w:p>
        </w:tc>
        <w:tc>
          <w:tcPr>
            <w:tcW w:w="5183" w:type="dxa"/>
            <w:noWrap/>
            <w:hideMark/>
          </w:tcPr>
          <w:p w14:paraId="2A798D6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Tribunal del Servicio Civil</w:t>
            </w:r>
          </w:p>
        </w:tc>
        <w:tc>
          <w:tcPr>
            <w:tcW w:w="680" w:type="dxa"/>
            <w:noWrap/>
            <w:hideMark/>
          </w:tcPr>
          <w:p w14:paraId="14322F77"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4539E8D"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6F67B82"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8ED26D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6CF795E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713F185B"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457BC08F"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4FEFE2CF"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163</w:t>
            </w:r>
          </w:p>
        </w:tc>
        <w:tc>
          <w:tcPr>
            <w:tcW w:w="5183" w:type="dxa"/>
            <w:noWrap/>
            <w:hideMark/>
          </w:tcPr>
          <w:p w14:paraId="40DD045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Tribunal Supremo de Elecciones (TSE)</w:t>
            </w:r>
          </w:p>
        </w:tc>
        <w:tc>
          <w:tcPr>
            <w:tcW w:w="680" w:type="dxa"/>
            <w:noWrap/>
            <w:hideMark/>
          </w:tcPr>
          <w:p w14:paraId="79FCD2C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32EED3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A4F376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C0DAEA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3F23202"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D753B95"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6AE376AF"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7970A7D"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164</w:t>
            </w:r>
          </w:p>
        </w:tc>
        <w:tc>
          <w:tcPr>
            <w:tcW w:w="5183" w:type="dxa"/>
            <w:noWrap/>
            <w:hideMark/>
          </w:tcPr>
          <w:p w14:paraId="387A1D6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Universidad Estatal a Distancia (UNED)</w:t>
            </w:r>
          </w:p>
        </w:tc>
        <w:tc>
          <w:tcPr>
            <w:tcW w:w="680" w:type="dxa"/>
            <w:noWrap/>
            <w:hideMark/>
          </w:tcPr>
          <w:p w14:paraId="3FC6B08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446F79D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3A239E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0193EBA6"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22C3F08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51EF7835"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3F501B" w:rsidRPr="00407698" w14:paraId="51572275"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334D0F9C" w14:textId="77777777" w:rsidR="009949F6" w:rsidRPr="00407698" w:rsidRDefault="009949F6" w:rsidP="00485619">
            <w:pPr>
              <w:jc w:val="both"/>
              <w:rPr>
                <w:rFonts w:ascii="Verdana" w:hAnsi="Verdana" w:cs="Arial"/>
                <w:b w:val="0"/>
                <w:lang w:val="es-ES" w:eastAsia="es-ES"/>
              </w:rPr>
            </w:pPr>
            <w:r w:rsidRPr="00407698">
              <w:rPr>
                <w:rFonts w:ascii="Verdana" w:hAnsi="Verdana" w:cs="Arial"/>
                <w:b w:val="0"/>
                <w:lang w:val="es-ES" w:eastAsia="es-ES"/>
              </w:rPr>
              <w:t>165</w:t>
            </w:r>
          </w:p>
        </w:tc>
        <w:tc>
          <w:tcPr>
            <w:tcW w:w="5183" w:type="dxa"/>
            <w:noWrap/>
            <w:hideMark/>
          </w:tcPr>
          <w:p w14:paraId="2E5CAD36"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Universidad Nacional (UNA)</w:t>
            </w:r>
          </w:p>
        </w:tc>
        <w:tc>
          <w:tcPr>
            <w:tcW w:w="680" w:type="dxa"/>
            <w:noWrap/>
            <w:hideMark/>
          </w:tcPr>
          <w:p w14:paraId="346DCCC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7355D82A"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3F52B659"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32A4E2B"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6905BFA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s-ES" w:eastAsia="es-ES"/>
              </w:rPr>
            </w:pPr>
            <w:r w:rsidRPr="00407698">
              <w:rPr>
                <w:rFonts w:ascii="Verdana" w:hAnsi="Verdana" w:cs="Arial"/>
                <w:lang w:val="es-ES" w:eastAsia="es-ES"/>
              </w:rPr>
              <w:t>1</w:t>
            </w:r>
          </w:p>
        </w:tc>
        <w:tc>
          <w:tcPr>
            <w:tcW w:w="680" w:type="dxa"/>
            <w:noWrap/>
            <w:hideMark/>
          </w:tcPr>
          <w:p w14:paraId="1C96696C"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w:t>
            </w:r>
          </w:p>
        </w:tc>
      </w:tr>
      <w:tr w:rsidR="003F501B" w:rsidRPr="00407698" w14:paraId="13942D8D"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D1D49F" w14:textId="77777777" w:rsidR="009949F6" w:rsidRPr="00407698" w:rsidRDefault="009949F6" w:rsidP="00485619">
            <w:pPr>
              <w:jc w:val="both"/>
              <w:rPr>
                <w:rFonts w:ascii="Verdana" w:hAnsi="Verdana" w:cs="Arial"/>
                <w:b w:val="0"/>
                <w:bCs w:val="0"/>
                <w:lang w:val="es-ES" w:eastAsia="es-ES"/>
              </w:rPr>
            </w:pPr>
            <w:r w:rsidRPr="00407698">
              <w:rPr>
                <w:rFonts w:ascii="Verdana" w:hAnsi="Verdana" w:cs="Arial"/>
                <w:b w:val="0"/>
                <w:bCs w:val="0"/>
                <w:lang w:val="es-ES" w:eastAsia="es-ES"/>
              </w:rPr>
              <w:t>166</w:t>
            </w:r>
          </w:p>
        </w:tc>
        <w:tc>
          <w:tcPr>
            <w:tcW w:w="5183" w:type="dxa"/>
            <w:noWrap/>
            <w:hideMark/>
          </w:tcPr>
          <w:p w14:paraId="0AD6A3BE"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 xml:space="preserve">Universidad Técnica Nacional (UTN) </w:t>
            </w:r>
          </w:p>
        </w:tc>
        <w:tc>
          <w:tcPr>
            <w:tcW w:w="680" w:type="dxa"/>
            <w:noWrap/>
            <w:hideMark/>
          </w:tcPr>
          <w:p w14:paraId="67546A8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0</w:t>
            </w:r>
          </w:p>
        </w:tc>
        <w:tc>
          <w:tcPr>
            <w:tcW w:w="680" w:type="dxa"/>
            <w:noWrap/>
            <w:hideMark/>
          </w:tcPr>
          <w:p w14:paraId="2C882B0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7EE70E18"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114A02A"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0F511F09"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Cs/>
                <w:lang w:val="es-ES" w:eastAsia="es-ES"/>
              </w:rPr>
            </w:pPr>
            <w:r w:rsidRPr="00407698">
              <w:rPr>
                <w:rFonts w:ascii="Verdana" w:hAnsi="Verdana" w:cs="Arial"/>
                <w:bCs/>
                <w:lang w:val="es-ES" w:eastAsia="es-ES"/>
              </w:rPr>
              <w:t>1</w:t>
            </w:r>
          </w:p>
        </w:tc>
        <w:tc>
          <w:tcPr>
            <w:tcW w:w="680" w:type="dxa"/>
            <w:noWrap/>
            <w:hideMark/>
          </w:tcPr>
          <w:p w14:paraId="36206374" w14:textId="77777777" w:rsidR="009949F6" w:rsidRPr="00407698" w:rsidRDefault="009949F6"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lang w:val="es-ES" w:eastAsia="es-ES"/>
              </w:rPr>
            </w:pPr>
            <w:r w:rsidRPr="00407698">
              <w:rPr>
                <w:rFonts w:ascii="Verdana" w:hAnsi="Verdana" w:cs="Arial"/>
                <w:b/>
                <w:bCs/>
                <w:lang w:val="es-ES" w:eastAsia="es-ES"/>
              </w:rPr>
              <w:t>1</w:t>
            </w:r>
          </w:p>
        </w:tc>
      </w:tr>
      <w:tr w:rsidR="00E10CE6" w:rsidRPr="00407698" w14:paraId="6A30D6B2" w14:textId="77777777" w:rsidTr="00123D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0" w:type="dxa"/>
            <w:gridSpan w:val="2"/>
            <w:noWrap/>
            <w:hideMark/>
          </w:tcPr>
          <w:p w14:paraId="36A43245" w14:textId="77777777" w:rsidR="009949F6" w:rsidRPr="00407698" w:rsidRDefault="009949F6" w:rsidP="00485619">
            <w:pPr>
              <w:jc w:val="both"/>
              <w:rPr>
                <w:rFonts w:ascii="Verdana" w:hAnsi="Verdana" w:cs="Arial"/>
                <w:lang w:val="es-ES" w:eastAsia="es-ES"/>
              </w:rPr>
            </w:pPr>
            <w:r w:rsidRPr="00407698">
              <w:rPr>
                <w:rFonts w:ascii="Verdana" w:hAnsi="Verdana" w:cs="Arial"/>
                <w:lang w:val="es-ES" w:eastAsia="es-ES"/>
              </w:rPr>
              <w:t>Total de informes presentados entre 2009 y 2015</w:t>
            </w:r>
          </w:p>
        </w:tc>
        <w:tc>
          <w:tcPr>
            <w:tcW w:w="680" w:type="dxa"/>
            <w:noWrap/>
            <w:hideMark/>
          </w:tcPr>
          <w:p w14:paraId="542955C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78</w:t>
            </w:r>
          </w:p>
        </w:tc>
        <w:tc>
          <w:tcPr>
            <w:tcW w:w="680" w:type="dxa"/>
            <w:noWrap/>
            <w:hideMark/>
          </w:tcPr>
          <w:p w14:paraId="50CDD0BF"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113</w:t>
            </w:r>
          </w:p>
        </w:tc>
        <w:tc>
          <w:tcPr>
            <w:tcW w:w="680" w:type="dxa"/>
            <w:noWrap/>
            <w:hideMark/>
          </w:tcPr>
          <w:p w14:paraId="02CE147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114</w:t>
            </w:r>
          </w:p>
        </w:tc>
        <w:tc>
          <w:tcPr>
            <w:tcW w:w="680" w:type="dxa"/>
            <w:noWrap/>
            <w:hideMark/>
          </w:tcPr>
          <w:p w14:paraId="36F3F458"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104</w:t>
            </w:r>
          </w:p>
        </w:tc>
        <w:tc>
          <w:tcPr>
            <w:tcW w:w="680" w:type="dxa"/>
            <w:noWrap/>
            <w:hideMark/>
          </w:tcPr>
          <w:p w14:paraId="47F1A904"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121</w:t>
            </w:r>
          </w:p>
        </w:tc>
        <w:tc>
          <w:tcPr>
            <w:tcW w:w="680" w:type="dxa"/>
            <w:noWrap/>
            <w:hideMark/>
          </w:tcPr>
          <w:p w14:paraId="1CEDCF27" w14:textId="77777777" w:rsidR="009949F6" w:rsidRPr="00407698" w:rsidRDefault="009949F6"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b/>
                <w:lang w:val="es-ES" w:eastAsia="es-ES"/>
              </w:rPr>
            </w:pPr>
            <w:r w:rsidRPr="00407698">
              <w:rPr>
                <w:rFonts w:ascii="Verdana" w:hAnsi="Verdana" w:cs="Arial"/>
                <w:b/>
                <w:lang w:val="es-ES" w:eastAsia="es-ES"/>
              </w:rPr>
              <w:t>119</w:t>
            </w:r>
          </w:p>
        </w:tc>
      </w:tr>
      <w:tr w:rsidR="00E10CE6" w:rsidRPr="00ED16F5" w14:paraId="4120B4C2" w14:textId="77777777" w:rsidTr="00123D37">
        <w:trPr>
          <w:trHeight w:val="300"/>
          <w:jc w:val="center"/>
        </w:trPr>
        <w:tc>
          <w:tcPr>
            <w:cnfStyle w:val="001000000000" w:firstRow="0" w:lastRow="0" w:firstColumn="1" w:lastColumn="0" w:oddVBand="0" w:evenVBand="0" w:oddHBand="0" w:evenHBand="0" w:firstRowFirstColumn="0" w:firstRowLastColumn="0" w:lastRowFirstColumn="0" w:lastRowLastColumn="0"/>
            <w:tcW w:w="6000" w:type="dxa"/>
            <w:gridSpan w:val="2"/>
            <w:noWrap/>
            <w:hideMark/>
          </w:tcPr>
          <w:p w14:paraId="6EA94819" w14:textId="7F89DEC5" w:rsidR="009949F6" w:rsidRPr="00ED16F5" w:rsidRDefault="00CA7439" w:rsidP="00485619">
            <w:pPr>
              <w:jc w:val="both"/>
              <w:rPr>
                <w:rFonts w:ascii="Verdana" w:hAnsi="Verdana" w:cs="Arial"/>
                <w:bCs w:val="0"/>
                <w:sz w:val="18"/>
                <w:szCs w:val="18"/>
                <w:lang w:val="es-ES" w:eastAsia="es-ES"/>
              </w:rPr>
            </w:pPr>
            <w:r w:rsidRPr="00ED16F5">
              <w:rPr>
                <w:rFonts w:ascii="Verdana" w:hAnsi="Verdana" w:cs="Arial"/>
                <w:bCs w:val="0"/>
                <w:sz w:val="18"/>
                <w:szCs w:val="18"/>
                <w:lang w:val="es-ES" w:eastAsia="es-ES"/>
              </w:rPr>
              <w:t>Porcentaje de las 328</w:t>
            </w:r>
            <w:r w:rsidR="009949F6" w:rsidRPr="00ED16F5">
              <w:rPr>
                <w:rFonts w:ascii="Verdana" w:hAnsi="Verdana" w:cs="Arial"/>
                <w:bCs w:val="0"/>
                <w:sz w:val="18"/>
                <w:szCs w:val="18"/>
                <w:lang w:val="es-ES" w:eastAsia="es-ES"/>
              </w:rPr>
              <w:t xml:space="preserve"> Entidades del Sector Público Costarricense que presentaron el informe de desarrollo archivístico durante el período 2009-2015</w:t>
            </w:r>
          </w:p>
        </w:tc>
        <w:tc>
          <w:tcPr>
            <w:tcW w:w="680" w:type="dxa"/>
            <w:noWrap/>
            <w:hideMark/>
          </w:tcPr>
          <w:p w14:paraId="6F3FD453" w14:textId="77777777" w:rsidR="009949F6" w:rsidRPr="00ED16F5" w:rsidRDefault="001D3AFB"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18"/>
                <w:lang w:val="es-ES" w:eastAsia="es-ES"/>
              </w:rPr>
            </w:pPr>
            <w:r w:rsidRPr="00ED16F5">
              <w:rPr>
                <w:rFonts w:ascii="Verdana" w:hAnsi="Verdana" w:cs="Arial"/>
                <w:b/>
                <w:bCs/>
                <w:sz w:val="18"/>
                <w:szCs w:val="18"/>
                <w:lang w:val="es-ES" w:eastAsia="es-ES"/>
              </w:rPr>
              <w:t>24,5</w:t>
            </w:r>
            <w:r w:rsidR="009949F6" w:rsidRPr="00ED16F5">
              <w:rPr>
                <w:rFonts w:ascii="Verdana" w:hAnsi="Verdana" w:cs="Arial"/>
                <w:b/>
                <w:bCs/>
                <w:sz w:val="18"/>
                <w:szCs w:val="18"/>
                <w:lang w:val="es-ES" w:eastAsia="es-ES"/>
              </w:rPr>
              <w:t>%</w:t>
            </w:r>
          </w:p>
        </w:tc>
        <w:tc>
          <w:tcPr>
            <w:tcW w:w="680" w:type="dxa"/>
            <w:noWrap/>
            <w:hideMark/>
          </w:tcPr>
          <w:p w14:paraId="7EC16E0F" w14:textId="77777777" w:rsidR="009949F6" w:rsidRPr="00ED16F5" w:rsidRDefault="001D3AFB"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18"/>
                <w:lang w:val="es-ES" w:eastAsia="es-ES"/>
              </w:rPr>
            </w:pPr>
            <w:r w:rsidRPr="00ED16F5">
              <w:rPr>
                <w:rFonts w:ascii="Verdana" w:hAnsi="Verdana" w:cs="Arial"/>
                <w:b/>
                <w:bCs/>
                <w:sz w:val="18"/>
                <w:szCs w:val="18"/>
                <w:lang w:val="es-ES" w:eastAsia="es-ES"/>
              </w:rPr>
              <w:t>35,5</w:t>
            </w:r>
            <w:r w:rsidR="009949F6" w:rsidRPr="00ED16F5">
              <w:rPr>
                <w:rFonts w:ascii="Verdana" w:hAnsi="Verdana" w:cs="Arial"/>
                <w:b/>
                <w:bCs/>
                <w:sz w:val="18"/>
                <w:szCs w:val="18"/>
                <w:lang w:val="es-ES" w:eastAsia="es-ES"/>
              </w:rPr>
              <w:t>%</w:t>
            </w:r>
          </w:p>
        </w:tc>
        <w:tc>
          <w:tcPr>
            <w:tcW w:w="680" w:type="dxa"/>
            <w:noWrap/>
            <w:hideMark/>
          </w:tcPr>
          <w:p w14:paraId="5DA823AB" w14:textId="77777777" w:rsidR="009949F6" w:rsidRPr="00ED16F5" w:rsidRDefault="001D3AFB"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18"/>
                <w:lang w:val="es-ES" w:eastAsia="es-ES"/>
              </w:rPr>
            </w:pPr>
            <w:r w:rsidRPr="00ED16F5">
              <w:rPr>
                <w:rFonts w:ascii="Verdana" w:hAnsi="Verdana" w:cs="Arial"/>
                <w:b/>
                <w:bCs/>
                <w:sz w:val="18"/>
                <w:szCs w:val="18"/>
                <w:lang w:val="es-ES" w:eastAsia="es-ES"/>
              </w:rPr>
              <w:t>35,8</w:t>
            </w:r>
            <w:r w:rsidR="009949F6" w:rsidRPr="00ED16F5">
              <w:rPr>
                <w:rFonts w:ascii="Verdana" w:hAnsi="Verdana" w:cs="Arial"/>
                <w:b/>
                <w:bCs/>
                <w:sz w:val="18"/>
                <w:szCs w:val="18"/>
                <w:lang w:val="es-ES" w:eastAsia="es-ES"/>
              </w:rPr>
              <w:t>%</w:t>
            </w:r>
          </w:p>
        </w:tc>
        <w:tc>
          <w:tcPr>
            <w:tcW w:w="680" w:type="dxa"/>
            <w:noWrap/>
            <w:hideMark/>
          </w:tcPr>
          <w:p w14:paraId="166D3875" w14:textId="77777777" w:rsidR="009949F6" w:rsidRPr="00ED16F5" w:rsidRDefault="001D3AFB"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18"/>
                <w:lang w:val="es-ES" w:eastAsia="es-ES"/>
              </w:rPr>
            </w:pPr>
            <w:r w:rsidRPr="00ED16F5">
              <w:rPr>
                <w:rFonts w:ascii="Verdana" w:hAnsi="Verdana" w:cs="Arial"/>
                <w:b/>
                <w:bCs/>
                <w:sz w:val="18"/>
                <w:szCs w:val="18"/>
                <w:lang w:val="es-ES" w:eastAsia="es-ES"/>
              </w:rPr>
              <w:t>32,7</w:t>
            </w:r>
            <w:r w:rsidR="009949F6" w:rsidRPr="00ED16F5">
              <w:rPr>
                <w:rFonts w:ascii="Verdana" w:hAnsi="Verdana" w:cs="Arial"/>
                <w:b/>
                <w:bCs/>
                <w:sz w:val="18"/>
                <w:szCs w:val="18"/>
                <w:lang w:val="es-ES" w:eastAsia="es-ES"/>
              </w:rPr>
              <w:t>%</w:t>
            </w:r>
          </w:p>
        </w:tc>
        <w:tc>
          <w:tcPr>
            <w:tcW w:w="680" w:type="dxa"/>
            <w:noWrap/>
            <w:hideMark/>
          </w:tcPr>
          <w:p w14:paraId="771B921A" w14:textId="77777777" w:rsidR="009949F6" w:rsidRPr="00ED16F5" w:rsidRDefault="001D3AFB"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18"/>
                <w:lang w:val="es-ES" w:eastAsia="es-ES"/>
              </w:rPr>
            </w:pPr>
            <w:r w:rsidRPr="00ED16F5">
              <w:rPr>
                <w:rFonts w:ascii="Verdana" w:hAnsi="Verdana" w:cs="Arial"/>
                <w:b/>
                <w:bCs/>
                <w:sz w:val="18"/>
                <w:szCs w:val="18"/>
                <w:lang w:val="es-ES" w:eastAsia="es-ES"/>
              </w:rPr>
              <w:t>38,5</w:t>
            </w:r>
            <w:r w:rsidR="009949F6" w:rsidRPr="00ED16F5">
              <w:rPr>
                <w:rFonts w:ascii="Verdana" w:hAnsi="Verdana" w:cs="Arial"/>
                <w:b/>
                <w:bCs/>
                <w:sz w:val="18"/>
                <w:szCs w:val="18"/>
                <w:lang w:val="es-ES" w:eastAsia="es-ES"/>
              </w:rPr>
              <w:t>%</w:t>
            </w:r>
          </w:p>
        </w:tc>
        <w:tc>
          <w:tcPr>
            <w:tcW w:w="680" w:type="dxa"/>
            <w:noWrap/>
            <w:hideMark/>
          </w:tcPr>
          <w:p w14:paraId="77C0F916" w14:textId="6E9ED10A" w:rsidR="009949F6" w:rsidRPr="00ED16F5" w:rsidRDefault="00CA7439"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18"/>
                <w:lang w:val="es-ES" w:eastAsia="es-ES"/>
              </w:rPr>
            </w:pPr>
            <w:r w:rsidRPr="00ED16F5">
              <w:rPr>
                <w:rFonts w:ascii="Verdana" w:hAnsi="Verdana" w:cs="Arial"/>
                <w:b/>
                <w:bCs/>
                <w:sz w:val="18"/>
                <w:szCs w:val="18"/>
                <w:lang w:val="es-ES" w:eastAsia="es-ES"/>
              </w:rPr>
              <w:t>36.2</w:t>
            </w:r>
            <w:r w:rsidR="00F00E9A" w:rsidRPr="00ED16F5">
              <w:rPr>
                <w:rFonts w:ascii="Verdana" w:hAnsi="Verdana" w:cs="Arial"/>
                <w:b/>
                <w:bCs/>
                <w:sz w:val="18"/>
                <w:szCs w:val="18"/>
                <w:lang w:val="es-ES" w:eastAsia="es-ES"/>
              </w:rPr>
              <w:t>%</w:t>
            </w:r>
          </w:p>
        </w:tc>
      </w:tr>
    </w:tbl>
    <w:p w14:paraId="1EC34262" w14:textId="77777777" w:rsidR="009949F6" w:rsidRPr="00485619" w:rsidRDefault="009949F6" w:rsidP="00485619">
      <w:pPr>
        <w:spacing w:after="0" w:line="240" w:lineRule="auto"/>
        <w:jc w:val="both"/>
        <w:rPr>
          <w:rFonts w:ascii="Verdana" w:eastAsia="Times New Roman" w:hAnsi="Verdana" w:cs="Arial"/>
          <w:sz w:val="24"/>
          <w:szCs w:val="24"/>
          <w:lang w:val="es-ES" w:eastAsia="es-ES"/>
        </w:rPr>
      </w:pPr>
    </w:p>
    <w:p w14:paraId="43D65D27" w14:textId="67C058EE" w:rsidR="00123D37" w:rsidRPr="00485619" w:rsidRDefault="00123D37" w:rsidP="00485619">
      <w:pPr>
        <w:jc w:val="both"/>
        <w:rPr>
          <w:rFonts w:ascii="Verdana" w:hAnsi="Verdana"/>
          <w:sz w:val="24"/>
          <w:szCs w:val="24"/>
        </w:rPr>
      </w:pPr>
      <w:r w:rsidRPr="00485619">
        <w:rPr>
          <w:rFonts w:ascii="Verdana" w:hAnsi="Verdana"/>
          <w:sz w:val="24"/>
          <w:szCs w:val="24"/>
        </w:rPr>
        <w:br w:type="page"/>
      </w:r>
    </w:p>
    <w:p w14:paraId="45D2C4AD" w14:textId="7BD661F6" w:rsidR="00123D37" w:rsidRPr="00D22199" w:rsidRDefault="00123D37" w:rsidP="00D22199">
      <w:pPr>
        <w:spacing w:after="0" w:line="240" w:lineRule="auto"/>
        <w:jc w:val="center"/>
        <w:rPr>
          <w:rFonts w:ascii="Verdana" w:eastAsia="Times New Roman" w:hAnsi="Verdana" w:cs="Times New Roman"/>
          <w:b/>
          <w:bCs/>
          <w:lang w:val="es-ES" w:eastAsia="es-ES"/>
        </w:rPr>
      </w:pPr>
      <w:r w:rsidRPr="00D22199">
        <w:rPr>
          <w:rFonts w:ascii="Verdana" w:eastAsia="Times New Roman" w:hAnsi="Verdana" w:cs="Times New Roman"/>
          <w:b/>
          <w:bCs/>
          <w:lang w:val="es-ES" w:eastAsia="es-ES"/>
        </w:rPr>
        <w:t>Anexo No. 2</w:t>
      </w:r>
    </w:p>
    <w:p w14:paraId="41CFF8E3" w14:textId="77777777" w:rsidR="00123D37" w:rsidRPr="00D22199" w:rsidRDefault="00123D37" w:rsidP="00D22199">
      <w:pPr>
        <w:spacing w:after="0" w:line="240" w:lineRule="auto"/>
        <w:jc w:val="center"/>
        <w:rPr>
          <w:rFonts w:ascii="Verdana" w:eastAsia="Times New Roman" w:hAnsi="Verdana" w:cs="Times New Roman"/>
          <w:b/>
          <w:bCs/>
          <w:lang w:val="es-ES" w:eastAsia="es-ES"/>
        </w:rPr>
      </w:pPr>
      <w:r w:rsidRPr="00D22199">
        <w:rPr>
          <w:rFonts w:ascii="Verdana" w:eastAsia="Times New Roman" w:hAnsi="Verdana" w:cs="Times New Roman"/>
          <w:b/>
          <w:bCs/>
          <w:lang w:val="es-ES" w:eastAsia="es-ES"/>
        </w:rPr>
        <w:t>Lista de instituciones que han presentado Informe Anual de Desarrollo</w:t>
      </w:r>
    </w:p>
    <w:p w14:paraId="628C06B6" w14:textId="47707042" w:rsidR="00123D37" w:rsidRPr="00D22199" w:rsidRDefault="00123D37" w:rsidP="00D22199">
      <w:pPr>
        <w:spacing w:after="0" w:line="240" w:lineRule="auto"/>
        <w:jc w:val="center"/>
        <w:rPr>
          <w:rFonts w:ascii="Verdana" w:eastAsia="Times New Roman" w:hAnsi="Verdana" w:cs="Times New Roman"/>
          <w:b/>
          <w:bCs/>
          <w:lang w:val="es-ES" w:eastAsia="es-ES"/>
        </w:rPr>
      </w:pPr>
      <w:r w:rsidRPr="00D22199">
        <w:rPr>
          <w:rFonts w:ascii="Verdana" w:eastAsia="Times New Roman" w:hAnsi="Verdana" w:cs="Times New Roman"/>
          <w:b/>
          <w:bCs/>
          <w:lang w:val="es-ES" w:eastAsia="es-ES"/>
        </w:rPr>
        <w:t>Archivístico (IADA) continuamente desde el año 2009 al año 2015</w:t>
      </w:r>
    </w:p>
    <w:p w14:paraId="53FEC613" w14:textId="77777777" w:rsidR="00123D37" w:rsidRPr="00485619" w:rsidRDefault="00123D37" w:rsidP="00485619">
      <w:pPr>
        <w:spacing w:after="0" w:line="240" w:lineRule="auto"/>
        <w:jc w:val="both"/>
        <w:rPr>
          <w:rFonts w:ascii="Verdana" w:eastAsia="Times New Roman" w:hAnsi="Verdana" w:cs="Times New Roman"/>
          <w:sz w:val="24"/>
          <w:szCs w:val="24"/>
          <w:lang w:val="es-ES" w:eastAsia="es-ES"/>
        </w:rPr>
      </w:pPr>
    </w:p>
    <w:tbl>
      <w:tblPr>
        <w:tblStyle w:val="Cuadrculamedia1-nfasis1"/>
        <w:tblW w:w="0" w:type="auto"/>
        <w:jc w:val="center"/>
        <w:tblLook w:val="04A0" w:firstRow="1" w:lastRow="0" w:firstColumn="1" w:lastColumn="0" w:noHBand="0" w:noVBand="1"/>
      </w:tblPr>
      <w:tblGrid>
        <w:gridCol w:w="475"/>
        <w:gridCol w:w="8152"/>
      </w:tblGrid>
      <w:tr w:rsidR="0078793F" w:rsidRPr="00D22199" w14:paraId="083717EC" w14:textId="77777777" w:rsidTr="00D2219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751DD1A" w14:textId="449D5AE7" w:rsidR="0078793F" w:rsidRPr="00D22199" w:rsidRDefault="0078793F" w:rsidP="00D22199">
            <w:pPr>
              <w:jc w:val="center"/>
              <w:rPr>
                <w:rFonts w:ascii="Verdana" w:hAnsi="Verdana" w:cs="Arial"/>
                <w:color w:val="000000"/>
                <w:sz w:val="18"/>
                <w:szCs w:val="18"/>
              </w:rPr>
            </w:pPr>
            <w:r w:rsidRPr="00D22199">
              <w:rPr>
                <w:rFonts w:ascii="Verdana" w:hAnsi="Verdana" w:cs="Arial"/>
                <w:color w:val="000000"/>
                <w:sz w:val="18"/>
                <w:szCs w:val="18"/>
              </w:rPr>
              <w:t>N°</w:t>
            </w:r>
          </w:p>
        </w:tc>
        <w:tc>
          <w:tcPr>
            <w:tcW w:w="0" w:type="auto"/>
            <w:noWrap/>
            <w:vAlign w:val="center"/>
          </w:tcPr>
          <w:p w14:paraId="3A9BDB41" w14:textId="17065D42" w:rsidR="0078793F" w:rsidRPr="00D22199" w:rsidRDefault="0078793F" w:rsidP="00D22199">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D22199">
              <w:rPr>
                <w:rFonts w:ascii="Verdana" w:hAnsi="Verdana" w:cs="Arial"/>
                <w:color w:val="000000"/>
                <w:sz w:val="18"/>
                <w:szCs w:val="18"/>
              </w:rPr>
              <w:t>Lista de instituciones</w:t>
            </w:r>
          </w:p>
        </w:tc>
      </w:tr>
      <w:tr w:rsidR="0078793F" w:rsidRPr="00D22199" w14:paraId="571F3035"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ED0734"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w:t>
            </w:r>
          </w:p>
        </w:tc>
        <w:tc>
          <w:tcPr>
            <w:tcW w:w="0" w:type="auto"/>
            <w:noWrap/>
            <w:hideMark/>
          </w:tcPr>
          <w:p w14:paraId="2C3A641B"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rPr>
              <w:t>Asamblea Legislativa</w:t>
            </w:r>
          </w:p>
        </w:tc>
      </w:tr>
      <w:tr w:rsidR="0078793F" w:rsidRPr="00D22199" w14:paraId="1B15924C"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893745"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w:t>
            </w:r>
          </w:p>
        </w:tc>
        <w:tc>
          <w:tcPr>
            <w:tcW w:w="0" w:type="auto"/>
            <w:noWrap/>
            <w:hideMark/>
          </w:tcPr>
          <w:p w14:paraId="451A3FFC"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Autoridad Reguladora de Servicios Públicos (ARESEP)</w:t>
            </w:r>
          </w:p>
        </w:tc>
      </w:tr>
      <w:tr w:rsidR="0078793F" w:rsidRPr="00D22199" w14:paraId="33BDF5FF"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9A28BB"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w:t>
            </w:r>
          </w:p>
        </w:tc>
        <w:tc>
          <w:tcPr>
            <w:tcW w:w="0" w:type="auto"/>
            <w:noWrap/>
            <w:hideMark/>
          </w:tcPr>
          <w:p w14:paraId="26194D7A"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Banco Crédito Agrícola de Cartago (BANCREDITO)</w:t>
            </w:r>
          </w:p>
        </w:tc>
      </w:tr>
      <w:tr w:rsidR="0078793F" w:rsidRPr="00D22199" w14:paraId="490B66D4"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99305B7"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w:t>
            </w:r>
          </w:p>
        </w:tc>
        <w:tc>
          <w:tcPr>
            <w:tcW w:w="0" w:type="auto"/>
            <w:noWrap/>
            <w:hideMark/>
          </w:tcPr>
          <w:p w14:paraId="384EFB4C"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Banco de Costa Rica (BCR)</w:t>
            </w:r>
          </w:p>
        </w:tc>
      </w:tr>
      <w:tr w:rsidR="0078793F" w:rsidRPr="00D22199" w14:paraId="7F8DB2A3"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74B326"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5</w:t>
            </w:r>
          </w:p>
        </w:tc>
        <w:tc>
          <w:tcPr>
            <w:tcW w:w="0" w:type="auto"/>
            <w:noWrap/>
            <w:hideMark/>
          </w:tcPr>
          <w:p w14:paraId="7909945D"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Banco Popular y de Desarrollo Comunal</w:t>
            </w:r>
          </w:p>
        </w:tc>
      </w:tr>
      <w:tr w:rsidR="0078793F" w:rsidRPr="00D22199" w14:paraId="71020DBA"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0B04FB"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6</w:t>
            </w:r>
          </w:p>
        </w:tc>
        <w:tc>
          <w:tcPr>
            <w:tcW w:w="0" w:type="auto"/>
            <w:noWrap/>
            <w:hideMark/>
          </w:tcPr>
          <w:p w14:paraId="13CB156F"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Comisión Nacional de Prestamos Para La Educación (CONAPE)</w:t>
            </w:r>
          </w:p>
        </w:tc>
      </w:tr>
      <w:tr w:rsidR="0078793F" w:rsidRPr="00D22199" w14:paraId="0C3613BB"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D58091"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7</w:t>
            </w:r>
          </w:p>
        </w:tc>
        <w:tc>
          <w:tcPr>
            <w:tcW w:w="0" w:type="auto"/>
            <w:noWrap/>
            <w:hideMark/>
          </w:tcPr>
          <w:p w14:paraId="77B23F5F"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Comisión Nacional de Prevención de Riesgos Y Atención de Emergencias (CNE)</w:t>
            </w:r>
          </w:p>
        </w:tc>
      </w:tr>
      <w:tr w:rsidR="0078793F" w:rsidRPr="00D22199" w14:paraId="726C1B9F"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19F95EC"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8</w:t>
            </w:r>
          </w:p>
        </w:tc>
        <w:tc>
          <w:tcPr>
            <w:tcW w:w="0" w:type="auto"/>
            <w:noWrap/>
            <w:hideMark/>
          </w:tcPr>
          <w:p w14:paraId="32473FEC"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Compañía Nacional de Fuerza Y Luz S.A (CNFL)</w:t>
            </w:r>
          </w:p>
        </w:tc>
      </w:tr>
      <w:tr w:rsidR="0078793F" w:rsidRPr="00D22199" w14:paraId="0061FB50"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86C8944"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9</w:t>
            </w:r>
          </w:p>
        </w:tc>
        <w:tc>
          <w:tcPr>
            <w:tcW w:w="0" w:type="auto"/>
            <w:noWrap/>
            <w:hideMark/>
          </w:tcPr>
          <w:p w14:paraId="36DABBC3"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Consejo Nacional de Concesiones (CNC)</w:t>
            </w:r>
          </w:p>
        </w:tc>
      </w:tr>
      <w:tr w:rsidR="0078793F" w:rsidRPr="00D22199" w14:paraId="5B7AA126"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F2ECE0"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10</w:t>
            </w:r>
          </w:p>
        </w:tc>
        <w:tc>
          <w:tcPr>
            <w:tcW w:w="0" w:type="auto"/>
            <w:noWrap/>
            <w:hideMark/>
          </w:tcPr>
          <w:p w14:paraId="07762BCA"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Corporación Bananera Nacional (CORBANA)</w:t>
            </w:r>
          </w:p>
        </w:tc>
      </w:tr>
      <w:tr w:rsidR="0078793F" w:rsidRPr="00D22199" w14:paraId="7980EC09"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851490"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11</w:t>
            </w:r>
          </w:p>
        </w:tc>
        <w:tc>
          <w:tcPr>
            <w:tcW w:w="0" w:type="auto"/>
            <w:noWrap/>
            <w:hideMark/>
          </w:tcPr>
          <w:p w14:paraId="2E727F0D"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Dirección de Inteligencia Y Seguridad Nacional (DIS)</w:t>
            </w:r>
          </w:p>
        </w:tc>
      </w:tr>
      <w:tr w:rsidR="0078793F" w:rsidRPr="00D22199" w14:paraId="098A8FC2"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EC1F10"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12</w:t>
            </w:r>
          </w:p>
        </w:tc>
        <w:tc>
          <w:tcPr>
            <w:tcW w:w="0" w:type="auto"/>
            <w:noWrap/>
            <w:hideMark/>
          </w:tcPr>
          <w:p w14:paraId="3A708427"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Fábrica Nacional de Licores (FANAL)</w:t>
            </w:r>
          </w:p>
        </w:tc>
      </w:tr>
      <w:tr w:rsidR="0078793F" w:rsidRPr="00D22199" w14:paraId="6FB0FD6A"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3B9B2CF"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13</w:t>
            </w:r>
          </w:p>
        </w:tc>
        <w:tc>
          <w:tcPr>
            <w:tcW w:w="0" w:type="auto"/>
            <w:noWrap/>
            <w:hideMark/>
          </w:tcPr>
          <w:p w14:paraId="260D84EB"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Fondo Nacional de Becas (FONABE)</w:t>
            </w:r>
          </w:p>
        </w:tc>
      </w:tr>
      <w:tr w:rsidR="0078793F" w:rsidRPr="00D22199" w14:paraId="4D35F0A4"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3F6C7BC"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14</w:t>
            </w:r>
          </w:p>
        </w:tc>
        <w:tc>
          <w:tcPr>
            <w:tcW w:w="0" w:type="auto"/>
            <w:noWrap/>
            <w:hideMark/>
          </w:tcPr>
          <w:p w14:paraId="5D597DA4"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Fondo Nacional de Financiamiento Forestal (FONAFIFO)</w:t>
            </w:r>
          </w:p>
        </w:tc>
      </w:tr>
      <w:tr w:rsidR="0078793F" w:rsidRPr="00D22199" w14:paraId="2844AAA9"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5DAB48"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15</w:t>
            </w:r>
          </w:p>
        </w:tc>
        <w:tc>
          <w:tcPr>
            <w:tcW w:w="0" w:type="auto"/>
            <w:noWrap/>
            <w:hideMark/>
          </w:tcPr>
          <w:p w14:paraId="0980AB9F"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Costarricense de Acueductos y Alcantarillados (AYA)</w:t>
            </w:r>
          </w:p>
        </w:tc>
      </w:tr>
      <w:tr w:rsidR="0078793F" w:rsidRPr="00D22199" w14:paraId="64419EC1"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53DC33"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16</w:t>
            </w:r>
          </w:p>
        </w:tc>
        <w:tc>
          <w:tcPr>
            <w:tcW w:w="0" w:type="auto"/>
            <w:noWrap/>
            <w:hideMark/>
          </w:tcPr>
          <w:p w14:paraId="45338351"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Costarricense de Electricidad (ICE)</w:t>
            </w:r>
          </w:p>
        </w:tc>
      </w:tr>
      <w:tr w:rsidR="0078793F" w:rsidRPr="00D22199" w14:paraId="39121D51"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4743445"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17</w:t>
            </w:r>
          </w:p>
        </w:tc>
        <w:tc>
          <w:tcPr>
            <w:tcW w:w="0" w:type="auto"/>
            <w:noWrap/>
            <w:hideMark/>
          </w:tcPr>
          <w:p w14:paraId="390612F5"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Costarricense de Pesca y Acuicultura (INCOPESCA)</w:t>
            </w:r>
          </w:p>
        </w:tc>
      </w:tr>
      <w:tr w:rsidR="0078793F" w:rsidRPr="00D22199" w14:paraId="455ED883"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FB7DE0"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18</w:t>
            </w:r>
          </w:p>
        </w:tc>
        <w:tc>
          <w:tcPr>
            <w:tcW w:w="0" w:type="auto"/>
            <w:noWrap/>
            <w:hideMark/>
          </w:tcPr>
          <w:p w14:paraId="7918BEDB"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Costarricense de Puertos del Pacífico (INCOP)</w:t>
            </w:r>
          </w:p>
        </w:tc>
      </w:tr>
      <w:tr w:rsidR="0078793F" w:rsidRPr="00D22199" w14:paraId="52925654"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A4E44B"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19</w:t>
            </w:r>
          </w:p>
        </w:tc>
        <w:tc>
          <w:tcPr>
            <w:tcW w:w="0" w:type="auto"/>
            <w:noWrap/>
            <w:hideMark/>
          </w:tcPr>
          <w:p w14:paraId="6AD6EEC1"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Costarricense de Turismo (ICT)</w:t>
            </w:r>
          </w:p>
        </w:tc>
      </w:tr>
      <w:tr w:rsidR="0078793F" w:rsidRPr="00D22199" w14:paraId="032FB8A2"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06A3DD"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20</w:t>
            </w:r>
          </w:p>
        </w:tc>
        <w:tc>
          <w:tcPr>
            <w:tcW w:w="0" w:type="auto"/>
            <w:noWrap/>
            <w:hideMark/>
          </w:tcPr>
          <w:p w14:paraId="40C93CD6"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Costarricense del Deporte y la Recreación (ICODER)</w:t>
            </w:r>
          </w:p>
        </w:tc>
      </w:tr>
      <w:tr w:rsidR="0078793F" w:rsidRPr="00D22199" w14:paraId="2783B35B"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8CADEFD"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21</w:t>
            </w:r>
          </w:p>
        </w:tc>
        <w:tc>
          <w:tcPr>
            <w:tcW w:w="0" w:type="auto"/>
            <w:noWrap/>
            <w:hideMark/>
          </w:tcPr>
          <w:p w14:paraId="79D97C55"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Costarricense Sobre Drogas (ICD)</w:t>
            </w:r>
          </w:p>
        </w:tc>
      </w:tr>
      <w:tr w:rsidR="0078793F" w:rsidRPr="00D22199" w14:paraId="7AFB2019"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8461E2"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22</w:t>
            </w:r>
          </w:p>
        </w:tc>
        <w:tc>
          <w:tcPr>
            <w:tcW w:w="0" w:type="auto"/>
            <w:noWrap/>
            <w:hideMark/>
          </w:tcPr>
          <w:p w14:paraId="2BABDAF1"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de Fomento y Asesoría Municipal (IFAM)</w:t>
            </w:r>
          </w:p>
        </w:tc>
      </w:tr>
      <w:tr w:rsidR="0078793F" w:rsidRPr="00D22199" w14:paraId="68542DB6"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F0B5A0B"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23</w:t>
            </w:r>
          </w:p>
        </w:tc>
        <w:tc>
          <w:tcPr>
            <w:tcW w:w="0" w:type="auto"/>
            <w:noWrap/>
            <w:hideMark/>
          </w:tcPr>
          <w:p w14:paraId="418A0E52"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Mixto de Ayuda Social (IMAS)</w:t>
            </w:r>
          </w:p>
        </w:tc>
      </w:tr>
      <w:tr w:rsidR="0078793F" w:rsidRPr="00D22199" w14:paraId="2C255382"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6A9BBA"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24</w:t>
            </w:r>
          </w:p>
        </w:tc>
        <w:tc>
          <w:tcPr>
            <w:tcW w:w="0" w:type="auto"/>
            <w:noWrap/>
            <w:hideMark/>
          </w:tcPr>
          <w:p w14:paraId="14E4E4AC"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Nacional de Aprendizaje (INA)</w:t>
            </w:r>
          </w:p>
        </w:tc>
      </w:tr>
      <w:tr w:rsidR="0078793F" w:rsidRPr="00D22199" w14:paraId="34D99EA1"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0169F9"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25</w:t>
            </w:r>
          </w:p>
        </w:tc>
        <w:tc>
          <w:tcPr>
            <w:tcW w:w="0" w:type="auto"/>
            <w:noWrap/>
            <w:hideMark/>
          </w:tcPr>
          <w:p w14:paraId="644B3914"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Nacional de Estadística y Censos (INEC)</w:t>
            </w:r>
          </w:p>
        </w:tc>
      </w:tr>
      <w:tr w:rsidR="0078793F" w:rsidRPr="00D22199" w14:paraId="081163C9"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A74701"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26</w:t>
            </w:r>
          </w:p>
        </w:tc>
        <w:tc>
          <w:tcPr>
            <w:tcW w:w="0" w:type="auto"/>
            <w:noWrap/>
            <w:hideMark/>
          </w:tcPr>
          <w:p w14:paraId="7B5BB3E5"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Nacional de Fomento Cooperativo (INFOCOOP)</w:t>
            </w:r>
          </w:p>
        </w:tc>
      </w:tr>
      <w:tr w:rsidR="0078793F" w:rsidRPr="00D22199" w14:paraId="0667E64A"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2DD8C8"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27</w:t>
            </w:r>
          </w:p>
        </w:tc>
        <w:tc>
          <w:tcPr>
            <w:tcW w:w="0" w:type="auto"/>
            <w:noWrap/>
            <w:hideMark/>
          </w:tcPr>
          <w:p w14:paraId="5FE2446D"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Instituto sobre Alcoholismo y Farmacodependencia (IAFA)</w:t>
            </w:r>
          </w:p>
        </w:tc>
      </w:tr>
      <w:tr w:rsidR="0078793F" w:rsidRPr="00D22199" w14:paraId="5288147E"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FA4C72"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28</w:t>
            </w:r>
          </w:p>
        </w:tc>
        <w:tc>
          <w:tcPr>
            <w:tcW w:w="0" w:type="auto"/>
            <w:noWrap/>
            <w:hideMark/>
          </w:tcPr>
          <w:p w14:paraId="4F5387A8"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Junta de Desarrollo Regional de la Zona Sur (JUDESUR)</w:t>
            </w:r>
          </w:p>
        </w:tc>
      </w:tr>
      <w:tr w:rsidR="0078793F" w:rsidRPr="00D22199" w14:paraId="6307C40D"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870528"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29</w:t>
            </w:r>
          </w:p>
        </w:tc>
        <w:tc>
          <w:tcPr>
            <w:tcW w:w="0" w:type="auto"/>
            <w:noWrap/>
            <w:hideMark/>
          </w:tcPr>
          <w:p w14:paraId="5BDDB223"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Ministerio de Comercio Exterior (COMEX)</w:t>
            </w:r>
          </w:p>
        </w:tc>
      </w:tr>
      <w:tr w:rsidR="0078793F" w:rsidRPr="00D22199" w14:paraId="1A533C6E"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BF910AC"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30</w:t>
            </w:r>
          </w:p>
        </w:tc>
        <w:tc>
          <w:tcPr>
            <w:tcW w:w="0" w:type="auto"/>
            <w:noWrap/>
            <w:hideMark/>
          </w:tcPr>
          <w:p w14:paraId="5D016A2E"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Ministerio de Cultura, Juventud  (MCJ)</w:t>
            </w:r>
          </w:p>
        </w:tc>
      </w:tr>
      <w:tr w:rsidR="0078793F" w:rsidRPr="00D22199" w14:paraId="7F0D6B33"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421A03"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31</w:t>
            </w:r>
          </w:p>
        </w:tc>
        <w:tc>
          <w:tcPr>
            <w:tcW w:w="0" w:type="auto"/>
            <w:noWrap/>
            <w:hideMark/>
          </w:tcPr>
          <w:p w14:paraId="30EC9498"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Ministerio de Educación Pública (MEP)</w:t>
            </w:r>
          </w:p>
        </w:tc>
      </w:tr>
      <w:tr w:rsidR="0078793F" w:rsidRPr="00D22199" w14:paraId="56329D85"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D67784"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32</w:t>
            </w:r>
          </w:p>
        </w:tc>
        <w:tc>
          <w:tcPr>
            <w:tcW w:w="0" w:type="auto"/>
            <w:noWrap/>
            <w:hideMark/>
          </w:tcPr>
          <w:p w14:paraId="7EB3E3AF"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Ministerio de Justicia y Paz</w:t>
            </w:r>
          </w:p>
        </w:tc>
      </w:tr>
      <w:tr w:rsidR="0078793F" w:rsidRPr="00D22199" w14:paraId="57AEA360"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ED1D533"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33</w:t>
            </w:r>
          </w:p>
        </w:tc>
        <w:tc>
          <w:tcPr>
            <w:tcW w:w="0" w:type="auto"/>
            <w:noWrap/>
            <w:hideMark/>
          </w:tcPr>
          <w:p w14:paraId="02ECF639"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Ministerio de Planificación Nacional y Política Económica (MIDEPLAN)</w:t>
            </w:r>
          </w:p>
        </w:tc>
      </w:tr>
      <w:tr w:rsidR="0078793F" w:rsidRPr="00D22199" w14:paraId="25688C48"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BE7C55"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34</w:t>
            </w:r>
          </w:p>
        </w:tc>
        <w:tc>
          <w:tcPr>
            <w:tcW w:w="0" w:type="auto"/>
            <w:noWrap/>
            <w:hideMark/>
          </w:tcPr>
          <w:p w14:paraId="63B4AD48"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Ministerio de Relaciones Exteriores y Culto (MRREE)</w:t>
            </w:r>
          </w:p>
        </w:tc>
      </w:tr>
      <w:tr w:rsidR="0078793F" w:rsidRPr="00D22199" w14:paraId="4DDBCDF2"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DA79ED"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35</w:t>
            </w:r>
          </w:p>
        </w:tc>
        <w:tc>
          <w:tcPr>
            <w:tcW w:w="0" w:type="auto"/>
            <w:noWrap/>
            <w:hideMark/>
          </w:tcPr>
          <w:p w14:paraId="768455C8"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Ministerio de Vivienda y Asentamientos (MIVAH)</w:t>
            </w:r>
          </w:p>
        </w:tc>
      </w:tr>
      <w:tr w:rsidR="0078793F" w:rsidRPr="00D22199" w14:paraId="719A8CA8"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789329"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36</w:t>
            </w:r>
          </w:p>
        </w:tc>
        <w:tc>
          <w:tcPr>
            <w:tcW w:w="0" w:type="auto"/>
            <w:noWrap/>
            <w:hideMark/>
          </w:tcPr>
          <w:p w14:paraId="20B241FF"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Belén</w:t>
            </w:r>
          </w:p>
        </w:tc>
      </w:tr>
      <w:tr w:rsidR="0078793F" w:rsidRPr="00D22199" w14:paraId="74B6B62B"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12EBA3"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37</w:t>
            </w:r>
          </w:p>
        </w:tc>
        <w:tc>
          <w:tcPr>
            <w:tcW w:w="0" w:type="auto"/>
            <w:noWrap/>
            <w:hideMark/>
          </w:tcPr>
          <w:p w14:paraId="5DE6A78D"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Coto Brus</w:t>
            </w:r>
          </w:p>
        </w:tc>
      </w:tr>
      <w:tr w:rsidR="0078793F" w:rsidRPr="00D22199" w14:paraId="33C53561"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07789AE"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38</w:t>
            </w:r>
          </w:p>
        </w:tc>
        <w:tc>
          <w:tcPr>
            <w:tcW w:w="0" w:type="auto"/>
            <w:noWrap/>
            <w:hideMark/>
          </w:tcPr>
          <w:p w14:paraId="24E9AE01"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Escazú</w:t>
            </w:r>
          </w:p>
        </w:tc>
      </w:tr>
      <w:tr w:rsidR="0078793F" w:rsidRPr="00D22199" w14:paraId="63F47862"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9D9BFD"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39</w:t>
            </w:r>
          </w:p>
        </w:tc>
        <w:tc>
          <w:tcPr>
            <w:tcW w:w="0" w:type="auto"/>
            <w:noWrap/>
            <w:hideMark/>
          </w:tcPr>
          <w:p w14:paraId="4C75F2E7"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Garabito</w:t>
            </w:r>
          </w:p>
        </w:tc>
      </w:tr>
      <w:tr w:rsidR="0078793F" w:rsidRPr="00D22199" w14:paraId="453F51A0"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BB3A18"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40</w:t>
            </w:r>
          </w:p>
        </w:tc>
        <w:tc>
          <w:tcPr>
            <w:tcW w:w="0" w:type="auto"/>
            <w:noWrap/>
            <w:hideMark/>
          </w:tcPr>
          <w:p w14:paraId="0DB0732E"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Montes De Oca</w:t>
            </w:r>
          </w:p>
        </w:tc>
      </w:tr>
      <w:tr w:rsidR="0078793F" w:rsidRPr="00D22199" w14:paraId="1262E2D7"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2B3D85"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41</w:t>
            </w:r>
          </w:p>
        </w:tc>
        <w:tc>
          <w:tcPr>
            <w:tcW w:w="0" w:type="auto"/>
            <w:noWrap/>
            <w:hideMark/>
          </w:tcPr>
          <w:p w14:paraId="7AE3DB59"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Pérez Zeledón</w:t>
            </w:r>
          </w:p>
        </w:tc>
      </w:tr>
      <w:tr w:rsidR="0078793F" w:rsidRPr="00D22199" w14:paraId="08E4E1DF"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A50F2B"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42</w:t>
            </w:r>
          </w:p>
        </w:tc>
        <w:tc>
          <w:tcPr>
            <w:tcW w:w="0" w:type="auto"/>
            <w:noWrap/>
            <w:hideMark/>
          </w:tcPr>
          <w:p w14:paraId="3543E63F"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Poás</w:t>
            </w:r>
          </w:p>
        </w:tc>
      </w:tr>
      <w:tr w:rsidR="0078793F" w:rsidRPr="00D22199" w14:paraId="37A2FFF9"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FB9D977"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43</w:t>
            </w:r>
          </w:p>
        </w:tc>
        <w:tc>
          <w:tcPr>
            <w:tcW w:w="0" w:type="auto"/>
            <w:noWrap/>
            <w:hideMark/>
          </w:tcPr>
          <w:p w14:paraId="27D87F93"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San Rafael De Heredia</w:t>
            </w:r>
          </w:p>
        </w:tc>
      </w:tr>
      <w:tr w:rsidR="0078793F" w:rsidRPr="00D22199" w14:paraId="72C8E541"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42B792"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44</w:t>
            </w:r>
          </w:p>
        </w:tc>
        <w:tc>
          <w:tcPr>
            <w:tcW w:w="0" w:type="auto"/>
            <w:noWrap/>
            <w:hideMark/>
          </w:tcPr>
          <w:p w14:paraId="318913C9"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Tibás</w:t>
            </w:r>
          </w:p>
        </w:tc>
      </w:tr>
      <w:tr w:rsidR="0078793F" w:rsidRPr="00D22199" w14:paraId="013BE5CE"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00FDA4A"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45</w:t>
            </w:r>
          </w:p>
        </w:tc>
        <w:tc>
          <w:tcPr>
            <w:tcW w:w="0" w:type="auto"/>
            <w:noWrap/>
            <w:hideMark/>
          </w:tcPr>
          <w:p w14:paraId="1B35FD1C"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Municipalidad de Vásquez De Coronado</w:t>
            </w:r>
          </w:p>
        </w:tc>
      </w:tr>
      <w:tr w:rsidR="0078793F" w:rsidRPr="00D22199" w14:paraId="2BB8CF0A"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EBC003"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46</w:t>
            </w:r>
          </w:p>
        </w:tc>
        <w:tc>
          <w:tcPr>
            <w:tcW w:w="0" w:type="auto"/>
            <w:noWrap/>
            <w:hideMark/>
          </w:tcPr>
          <w:p w14:paraId="7C322B6C"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Patronato Nacional de La Infancia (PANI)</w:t>
            </w:r>
          </w:p>
        </w:tc>
      </w:tr>
      <w:tr w:rsidR="0078793F" w:rsidRPr="00D22199" w14:paraId="0109AF4E"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EB6F66"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47</w:t>
            </w:r>
          </w:p>
        </w:tc>
        <w:tc>
          <w:tcPr>
            <w:tcW w:w="0" w:type="auto"/>
            <w:noWrap/>
            <w:hideMark/>
          </w:tcPr>
          <w:p w14:paraId="421D81CF"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Promotora de Comercio Exterior (PROCOMER)</w:t>
            </w:r>
          </w:p>
        </w:tc>
      </w:tr>
      <w:tr w:rsidR="0078793F" w:rsidRPr="00D22199" w14:paraId="39D680CA"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96F34A"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48</w:t>
            </w:r>
          </w:p>
        </w:tc>
        <w:tc>
          <w:tcPr>
            <w:tcW w:w="0" w:type="auto"/>
            <w:noWrap/>
            <w:hideMark/>
          </w:tcPr>
          <w:p w14:paraId="19004151"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Registro Nacional</w:t>
            </w:r>
          </w:p>
        </w:tc>
      </w:tr>
      <w:tr w:rsidR="0078793F" w:rsidRPr="00D22199" w14:paraId="1494DA11"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517A058"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49</w:t>
            </w:r>
          </w:p>
        </w:tc>
        <w:tc>
          <w:tcPr>
            <w:tcW w:w="0" w:type="auto"/>
            <w:noWrap/>
            <w:hideMark/>
          </w:tcPr>
          <w:p w14:paraId="266F3D71"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Sistema Nacional de Radio y Televisión S.A. (SINART S.A.)</w:t>
            </w:r>
          </w:p>
        </w:tc>
      </w:tr>
      <w:tr w:rsidR="0078793F" w:rsidRPr="00D22199" w14:paraId="10307494"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7E72A1"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50</w:t>
            </w:r>
          </w:p>
        </w:tc>
        <w:tc>
          <w:tcPr>
            <w:tcW w:w="0" w:type="auto"/>
            <w:noWrap/>
            <w:hideMark/>
          </w:tcPr>
          <w:p w14:paraId="670043A8"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Teatro Nacional</w:t>
            </w:r>
          </w:p>
        </w:tc>
      </w:tr>
      <w:tr w:rsidR="0078793F" w:rsidRPr="00D22199" w14:paraId="2A953665"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F4FE80"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51</w:t>
            </w:r>
          </w:p>
        </w:tc>
        <w:tc>
          <w:tcPr>
            <w:tcW w:w="0" w:type="auto"/>
            <w:noWrap/>
            <w:hideMark/>
          </w:tcPr>
          <w:p w14:paraId="2AD438D6"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Tribunal Supremo de Elecciones (TSE)</w:t>
            </w:r>
          </w:p>
        </w:tc>
      </w:tr>
      <w:tr w:rsidR="0078793F" w:rsidRPr="00D22199" w14:paraId="333BD1D3" w14:textId="77777777" w:rsidTr="0078793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549390"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52</w:t>
            </w:r>
          </w:p>
        </w:tc>
        <w:tc>
          <w:tcPr>
            <w:tcW w:w="0" w:type="auto"/>
            <w:noWrap/>
            <w:hideMark/>
          </w:tcPr>
          <w:p w14:paraId="7CADD11A" w14:textId="77777777" w:rsidR="0078793F" w:rsidRPr="00D22199" w:rsidRDefault="0078793F" w:rsidP="00485619">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Universidad Estatal a Distancia (UNED)</w:t>
            </w:r>
          </w:p>
        </w:tc>
      </w:tr>
      <w:tr w:rsidR="0078793F" w:rsidRPr="00D22199" w14:paraId="5574969C" w14:textId="77777777" w:rsidTr="007879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ED5D67" w14:textId="77777777" w:rsidR="0078793F" w:rsidRPr="00D22199" w:rsidRDefault="0078793F" w:rsidP="00485619">
            <w:pPr>
              <w:jc w:val="both"/>
              <w:rPr>
                <w:rFonts w:ascii="Verdana" w:hAnsi="Verdana" w:cs="Arial"/>
                <w:b w:val="0"/>
                <w:color w:val="000000"/>
              </w:rPr>
            </w:pPr>
            <w:r w:rsidRPr="00D22199">
              <w:rPr>
                <w:rFonts w:ascii="Verdana" w:hAnsi="Verdana" w:cs="Arial"/>
                <w:b w:val="0"/>
                <w:color w:val="000000"/>
              </w:rPr>
              <w:t>53</w:t>
            </w:r>
          </w:p>
        </w:tc>
        <w:tc>
          <w:tcPr>
            <w:tcW w:w="0" w:type="auto"/>
            <w:noWrap/>
            <w:hideMark/>
          </w:tcPr>
          <w:p w14:paraId="6524F269" w14:textId="77777777" w:rsidR="0078793F" w:rsidRPr="00D22199" w:rsidRDefault="0078793F" w:rsidP="00485619">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D22199">
              <w:rPr>
                <w:rFonts w:ascii="Verdana" w:hAnsi="Verdana" w:cs="Arial"/>
                <w:color w:val="000000"/>
                <w:lang w:val="es-ES"/>
              </w:rPr>
              <w:t>Universidad Nacional (UNA)</w:t>
            </w:r>
          </w:p>
        </w:tc>
      </w:tr>
    </w:tbl>
    <w:p w14:paraId="34DFF0FA" w14:textId="77777777" w:rsidR="0078793F" w:rsidRPr="00485619" w:rsidRDefault="0078793F" w:rsidP="00485619">
      <w:pPr>
        <w:spacing w:after="0" w:line="240" w:lineRule="auto"/>
        <w:jc w:val="both"/>
        <w:rPr>
          <w:rFonts w:ascii="Verdana" w:eastAsia="Times New Roman" w:hAnsi="Verdana" w:cs="Times New Roman"/>
          <w:sz w:val="24"/>
          <w:szCs w:val="24"/>
          <w:lang w:val="es-ES" w:eastAsia="es-ES"/>
        </w:rPr>
      </w:pPr>
    </w:p>
    <w:p w14:paraId="0E2C8169" w14:textId="77777777" w:rsidR="0078793F" w:rsidRPr="00485619" w:rsidRDefault="0078793F" w:rsidP="00485619">
      <w:pPr>
        <w:spacing w:after="0" w:line="240" w:lineRule="auto"/>
        <w:jc w:val="both"/>
        <w:rPr>
          <w:rFonts w:ascii="Verdana" w:eastAsia="Times New Roman" w:hAnsi="Verdana" w:cs="Times New Roman"/>
          <w:sz w:val="24"/>
          <w:szCs w:val="24"/>
          <w:lang w:val="es-ES" w:eastAsia="es-ES"/>
        </w:rPr>
      </w:pPr>
    </w:p>
    <w:p w14:paraId="035A37D5" w14:textId="77777777" w:rsidR="0078793F" w:rsidRPr="00485619" w:rsidRDefault="0078793F" w:rsidP="00485619">
      <w:pPr>
        <w:spacing w:after="0" w:line="240" w:lineRule="auto"/>
        <w:jc w:val="both"/>
        <w:rPr>
          <w:rFonts w:ascii="Verdana" w:eastAsia="Times New Roman" w:hAnsi="Verdana" w:cs="Times New Roman"/>
          <w:sz w:val="24"/>
          <w:szCs w:val="24"/>
          <w:lang w:val="es-ES" w:eastAsia="es-ES"/>
        </w:rPr>
      </w:pPr>
    </w:p>
    <w:p w14:paraId="371C9955" w14:textId="77777777" w:rsidR="0078793F" w:rsidRPr="00485619" w:rsidRDefault="0078793F" w:rsidP="00485619">
      <w:pPr>
        <w:spacing w:after="0" w:line="240" w:lineRule="auto"/>
        <w:jc w:val="both"/>
        <w:rPr>
          <w:rFonts w:ascii="Verdana" w:eastAsia="Times New Roman" w:hAnsi="Verdana" w:cs="Times New Roman"/>
          <w:sz w:val="24"/>
          <w:szCs w:val="24"/>
          <w:lang w:val="es-ES" w:eastAsia="es-ES"/>
        </w:rPr>
      </w:pPr>
    </w:p>
    <w:p w14:paraId="7E43AA4C" w14:textId="77777777" w:rsidR="0063677D" w:rsidRPr="00485619" w:rsidRDefault="0063677D" w:rsidP="00485619">
      <w:pPr>
        <w:jc w:val="both"/>
        <w:rPr>
          <w:rFonts w:ascii="Verdana" w:hAnsi="Verdana"/>
          <w:sz w:val="24"/>
          <w:szCs w:val="24"/>
        </w:rPr>
      </w:pPr>
    </w:p>
    <w:sectPr w:rsidR="0063677D" w:rsidRPr="00485619" w:rsidSect="00FF541E">
      <w:headerReference w:type="even" r:id="rId18"/>
      <w:headerReference w:type="default" r:id="rId19"/>
      <w:footerReference w:type="even" r:id="rId20"/>
      <w:footerReference w:type="default" r:id="rId21"/>
      <w:headerReference w:type="first" r:id="rId22"/>
      <w:pgSz w:w="12242" w:h="15842" w:code="1"/>
      <w:pgMar w:top="1418" w:right="17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AD81B" w14:textId="77777777" w:rsidR="00861E10" w:rsidRDefault="00861E10" w:rsidP="006A6EA9">
      <w:pPr>
        <w:spacing w:after="0" w:line="240" w:lineRule="auto"/>
      </w:pPr>
      <w:r>
        <w:separator/>
      </w:r>
    </w:p>
  </w:endnote>
  <w:endnote w:type="continuationSeparator" w:id="0">
    <w:p w14:paraId="0EEFE193" w14:textId="77777777" w:rsidR="00861E10" w:rsidRDefault="00861E10" w:rsidP="006A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F7C7" w14:textId="77777777" w:rsidR="00C26051" w:rsidRDefault="00C260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975872" w14:textId="77777777" w:rsidR="00C26051" w:rsidRDefault="00C2605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2CAD" w14:textId="7DD63566" w:rsidR="00C26051" w:rsidRDefault="00C26051" w:rsidP="00760686">
    <w:pPr>
      <w:pStyle w:val="Encabezado"/>
      <w:pBdr>
        <w:top w:val="single" w:sz="6" w:space="17" w:color="4F81BD" w:themeColor="accent1"/>
      </w:pBdr>
      <w:spacing w:before="240"/>
      <w:jc w:val="center"/>
      <w:rPr>
        <w:color w:val="4F81BD" w:themeColor="accent1"/>
      </w:rPr>
    </w:pPr>
    <w:r>
      <w:rPr>
        <w:noProof/>
        <w:color w:val="4F81BD" w:themeColor="accent1"/>
        <w:lang w:val="es-ES"/>
      </w:rPr>
      <w:drawing>
        <wp:anchor distT="0" distB="0" distL="114300" distR="114300" simplePos="0" relativeHeight="251658752" behindDoc="1" locked="0" layoutInCell="1" allowOverlap="1" wp14:anchorId="6CC8E573" wp14:editId="7120E853">
          <wp:simplePos x="0" y="0"/>
          <wp:positionH relativeFrom="column">
            <wp:posOffset>1118870</wp:posOffset>
          </wp:positionH>
          <wp:positionV relativeFrom="paragraph">
            <wp:posOffset>49530</wp:posOffset>
          </wp:positionV>
          <wp:extent cx="3648075" cy="714375"/>
          <wp:effectExtent l="0" t="0" r="9525" b="9525"/>
          <wp:wrapTight wrapText="bothSides">
            <wp:wrapPolygon edited="0">
              <wp:start x="0" y="0"/>
              <wp:lineTo x="0" y="21312"/>
              <wp:lineTo x="21544" y="21312"/>
              <wp:lineTo x="2154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143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61328" w14:textId="77777777" w:rsidR="00861E10" w:rsidRDefault="00861E10" w:rsidP="006A6EA9">
      <w:pPr>
        <w:spacing w:after="0" w:line="240" w:lineRule="auto"/>
      </w:pPr>
      <w:r>
        <w:separator/>
      </w:r>
    </w:p>
  </w:footnote>
  <w:footnote w:type="continuationSeparator" w:id="0">
    <w:p w14:paraId="31B36AEC" w14:textId="77777777" w:rsidR="00861E10" w:rsidRDefault="00861E10" w:rsidP="006A6EA9">
      <w:pPr>
        <w:spacing w:after="0" w:line="240" w:lineRule="auto"/>
      </w:pPr>
      <w:r>
        <w:continuationSeparator/>
      </w:r>
    </w:p>
  </w:footnote>
  <w:footnote w:id="1">
    <w:p w14:paraId="03C857F6" w14:textId="1C64253F" w:rsidR="00C26051" w:rsidRPr="000E4516" w:rsidRDefault="00C26051" w:rsidP="006A6EA9">
      <w:pPr>
        <w:pStyle w:val="Textonotapie"/>
        <w:jc w:val="both"/>
        <w:rPr>
          <w:rFonts w:ascii="Verdana" w:hAnsi="Verdana"/>
          <w:sz w:val="16"/>
          <w:szCs w:val="16"/>
        </w:rPr>
      </w:pPr>
      <w:r w:rsidRPr="000E4516">
        <w:rPr>
          <w:rStyle w:val="Refdenotaalpie"/>
          <w:sz w:val="16"/>
          <w:szCs w:val="16"/>
        </w:rPr>
        <w:footnoteRef/>
      </w:r>
      <w:r w:rsidRPr="000E4516">
        <w:rPr>
          <w:rFonts w:ascii="Verdana" w:hAnsi="Verdana"/>
          <w:sz w:val="16"/>
          <w:szCs w:val="16"/>
        </w:rPr>
        <w:t xml:space="preserve"> El detalle de las instituciones del Sector Público Costarricense que han presentado el informe de desarrollo archivístico durante el período </w:t>
      </w:r>
      <w:r>
        <w:rPr>
          <w:rFonts w:ascii="Verdana" w:hAnsi="Verdana"/>
          <w:sz w:val="16"/>
          <w:szCs w:val="16"/>
        </w:rPr>
        <w:t>2009-2015</w:t>
      </w:r>
      <w:r w:rsidRPr="000E4516">
        <w:rPr>
          <w:rFonts w:ascii="Verdana" w:hAnsi="Verdana"/>
          <w:sz w:val="16"/>
          <w:szCs w:val="16"/>
        </w:rPr>
        <w:t xml:space="preserve"> se encuentra en e</w:t>
      </w:r>
      <w:r>
        <w:rPr>
          <w:rFonts w:ascii="Verdana" w:hAnsi="Verdana"/>
          <w:sz w:val="16"/>
          <w:szCs w:val="16"/>
        </w:rPr>
        <w:t>l ANEXO 1</w:t>
      </w:r>
      <w:r w:rsidRPr="000E4516">
        <w:rPr>
          <w:rFonts w:ascii="Verdana" w:hAnsi="Verdana"/>
          <w:sz w:val="16"/>
          <w:szCs w:val="16"/>
        </w:rPr>
        <w:t xml:space="preserve"> de este informe.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1A0D" w14:textId="77777777" w:rsidR="00C26051" w:rsidRDefault="00C2605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1B11C2" w14:textId="77777777" w:rsidR="00C26051" w:rsidRDefault="00C2605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ACBD" w14:textId="77777777" w:rsidR="00C26051" w:rsidRDefault="00C26051" w:rsidP="00ED16F5">
    <w:pPr>
      <w:pStyle w:val="Encabezado"/>
      <w:ind w:right="360"/>
      <w:jc w:val="right"/>
      <w:rPr>
        <w:rFonts w:ascii="Verdana" w:hAnsi="Verdana"/>
        <w:i/>
        <w:iCs/>
        <w:sz w:val="16"/>
        <w:szCs w:val="16"/>
      </w:rPr>
    </w:pPr>
    <w:r w:rsidRPr="00485619">
      <w:rPr>
        <w:rFonts w:ascii="Verdana" w:hAnsi="Verdana"/>
        <w:i/>
        <w:iCs/>
        <w:sz w:val="16"/>
        <w:szCs w:val="16"/>
      </w:rPr>
      <w:t>Informe de Desarrollo Archivístico a Nivel Nacional 2014-2015</w:t>
    </w:r>
  </w:p>
  <w:p w14:paraId="2D8FE13E" w14:textId="2C3EB3AA" w:rsidR="00C26051" w:rsidRPr="00ED16F5" w:rsidRDefault="00861E10" w:rsidP="00ED16F5">
    <w:pPr>
      <w:pStyle w:val="Encabezado"/>
      <w:ind w:right="360"/>
      <w:jc w:val="right"/>
      <w:rPr>
        <w:rFonts w:ascii="Verdana" w:hAnsi="Verdana"/>
        <w:i/>
        <w:iCs/>
        <w:sz w:val="16"/>
        <w:szCs w:val="16"/>
      </w:rPr>
    </w:pPr>
    <w:sdt>
      <w:sdtPr>
        <w:rPr>
          <w:rFonts w:ascii="Verdana" w:hAnsi="Verdana"/>
          <w:i/>
          <w:iCs/>
          <w:sz w:val="16"/>
          <w:szCs w:val="16"/>
        </w:rPr>
        <w:id w:val="407203369"/>
        <w:docPartObj>
          <w:docPartGallery w:val="Page Numbers (Top of Page)"/>
          <w:docPartUnique/>
        </w:docPartObj>
      </w:sdtPr>
      <w:sdtEndPr/>
      <w:sdtContent>
        <w:r w:rsidR="00C26051" w:rsidRPr="00ED16F5">
          <w:rPr>
            <w:rFonts w:ascii="Verdana" w:hAnsi="Verdana"/>
            <w:i/>
            <w:iCs/>
            <w:sz w:val="16"/>
            <w:szCs w:val="16"/>
          </w:rPr>
          <w:t xml:space="preserve">Página </w:t>
        </w:r>
        <w:r w:rsidR="00C26051" w:rsidRPr="00ED16F5">
          <w:rPr>
            <w:rFonts w:ascii="Verdana" w:hAnsi="Verdana"/>
            <w:i/>
            <w:iCs/>
            <w:sz w:val="16"/>
            <w:szCs w:val="16"/>
          </w:rPr>
          <w:fldChar w:fldCharType="begin"/>
        </w:r>
        <w:r w:rsidR="00C26051" w:rsidRPr="00ED16F5">
          <w:rPr>
            <w:rFonts w:ascii="Verdana" w:hAnsi="Verdana"/>
            <w:i/>
            <w:iCs/>
            <w:sz w:val="16"/>
            <w:szCs w:val="16"/>
          </w:rPr>
          <w:instrText>PAGE</w:instrText>
        </w:r>
        <w:r w:rsidR="00C26051" w:rsidRPr="00ED16F5">
          <w:rPr>
            <w:rFonts w:ascii="Verdana" w:hAnsi="Verdana"/>
            <w:i/>
            <w:iCs/>
            <w:sz w:val="16"/>
            <w:szCs w:val="16"/>
          </w:rPr>
          <w:fldChar w:fldCharType="separate"/>
        </w:r>
        <w:r w:rsidR="000D0E32">
          <w:rPr>
            <w:rFonts w:ascii="Verdana" w:hAnsi="Verdana"/>
            <w:i/>
            <w:iCs/>
            <w:noProof/>
            <w:sz w:val="16"/>
            <w:szCs w:val="16"/>
          </w:rPr>
          <w:t>6</w:t>
        </w:r>
        <w:r w:rsidR="00C26051" w:rsidRPr="00ED16F5">
          <w:rPr>
            <w:rFonts w:ascii="Verdana" w:hAnsi="Verdana"/>
            <w:i/>
            <w:iCs/>
            <w:sz w:val="16"/>
            <w:szCs w:val="16"/>
          </w:rPr>
          <w:fldChar w:fldCharType="end"/>
        </w:r>
        <w:r w:rsidR="00C26051" w:rsidRPr="00ED16F5">
          <w:rPr>
            <w:rFonts w:ascii="Verdana" w:hAnsi="Verdana"/>
            <w:i/>
            <w:iCs/>
            <w:sz w:val="16"/>
            <w:szCs w:val="16"/>
          </w:rPr>
          <w:t xml:space="preserve"> de </w:t>
        </w:r>
        <w:r w:rsidR="00C26051" w:rsidRPr="00ED16F5">
          <w:rPr>
            <w:rFonts w:ascii="Verdana" w:hAnsi="Verdana"/>
            <w:i/>
            <w:iCs/>
            <w:sz w:val="16"/>
            <w:szCs w:val="16"/>
          </w:rPr>
          <w:fldChar w:fldCharType="begin"/>
        </w:r>
        <w:r w:rsidR="00C26051" w:rsidRPr="00ED16F5">
          <w:rPr>
            <w:rFonts w:ascii="Verdana" w:hAnsi="Verdana"/>
            <w:i/>
            <w:iCs/>
            <w:sz w:val="16"/>
            <w:szCs w:val="16"/>
          </w:rPr>
          <w:instrText>NUMPAGES</w:instrText>
        </w:r>
        <w:r w:rsidR="00C26051" w:rsidRPr="00ED16F5">
          <w:rPr>
            <w:rFonts w:ascii="Verdana" w:hAnsi="Verdana"/>
            <w:i/>
            <w:iCs/>
            <w:sz w:val="16"/>
            <w:szCs w:val="16"/>
          </w:rPr>
          <w:fldChar w:fldCharType="separate"/>
        </w:r>
        <w:r w:rsidR="000D0E32">
          <w:rPr>
            <w:rFonts w:ascii="Verdana" w:hAnsi="Verdana"/>
            <w:i/>
            <w:iCs/>
            <w:noProof/>
            <w:sz w:val="16"/>
            <w:szCs w:val="16"/>
          </w:rPr>
          <w:t>6</w:t>
        </w:r>
        <w:r w:rsidR="00C26051" w:rsidRPr="00ED16F5">
          <w:rPr>
            <w:rFonts w:ascii="Verdana" w:hAnsi="Verdana"/>
            <w:i/>
            <w:iCs/>
            <w:sz w:val="16"/>
            <w:szCs w:val="16"/>
          </w:rPr>
          <w:fldChar w:fldCharType="end"/>
        </w:r>
      </w:sdtContent>
    </w:sdt>
  </w:p>
  <w:p w14:paraId="1722273D" w14:textId="0D6E0779" w:rsidR="00C26051" w:rsidRPr="00ED16F5" w:rsidRDefault="00C26051" w:rsidP="00ED16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CE39" w14:textId="68E7A605" w:rsidR="00C26051" w:rsidRPr="00ED16F5" w:rsidRDefault="00C26051" w:rsidP="00ED16F5">
    <w:pPr>
      <w:pStyle w:val="Encabezado"/>
    </w:pPr>
    <w:r>
      <w:rPr>
        <w:noProof/>
        <w:color w:val="4F81BD" w:themeColor="accent1"/>
        <w:lang w:val="es-ES"/>
      </w:rPr>
      <w:drawing>
        <wp:anchor distT="0" distB="0" distL="114300" distR="114300" simplePos="0" relativeHeight="251661824" behindDoc="1" locked="0" layoutInCell="1" allowOverlap="1" wp14:anchorId="19D904CE" wp14:editId="31F7FDD3">
          <wp:simplePos x="0" y="0"/>
          <wp:positionH relativeFrom="column">
            <wp:posOffset>728345</wp:posOffset>
          </wp:positionH>
          <wp:positionV relativeFrom="paragraph">
            <wp:posOffset>-2540</wp:posOffset>
          </wp:positionV>
          <wp:extent cx="4667250" cy="952500"/>
          <wp:effectExtent l="0" t="0" r="0" b="0"/>
          <wp:wrapTight wrapText="bothSides">
            <wp:wrapPolygon edited="0">
              <wp:start x="0" y="0"/>
              <wp:lineTo x="0" y="21168"/>
              <wp:lineTo x="21512" y="21168"/>
              <wp:lineTo x="2151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952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7E3"/>
    <w:multiLevelType w:val="hybridMultilevel"/>
    <w:tmpl w:val="7A686770"/>
    <w:lvl w:ilvl="0" w:tplc="F34EB780">
      <w:start w:val="1"/>
      <w:numFmt w:val="decimal"/>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
    <w:nsid w:val="02E64FD2"/>
    <w:multiLevelType w:val="hybridMultilevel"/>
    <w:tmpl w:val="A2DAF49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4F79AF"/>
    <w:multiLevelType w:val="hybridMultilevel"/>
    <w:tmpl w:val="1E50535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0BF6076C"/>
    <w:multiLevelType w:val="hybridMultilevel"/>
    <w:tmpl w:val="EB5E3B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974458"/>
    <w:multiLevelType w:val="hybridMultilevel"/>
    <w:tmpl w:val="00E0C7C6"/>
    <w:lvl w:ilvl="0" w:tplc="6A662902">
      <w:start w:val="1"/>
      <w:numFmt w:val="decimal"/>
      <w:lvlText w:val="%1."/>
      <w:lvlJc w:val="left"/>
      <w:pPr>
        <w:tabs>
          <w:tab w:val="num" w:pos="720"/>
        </w:tabs>
        <w:ind w:left="720" w:hanging="360"/>
      </w:pPr>
      <w:rPr>
        <w:rFonts w:ascii="Verdana" w:hAnsi="Verdana" w:hint="default"/>
        <w:b w:val="0"/>
        <w:i w:val="0"/>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3C6EBC"/>
    <w:multiLevelType w:val="hybridMultilevel"/>
    <w:tmpl w:val="D010A7FE"/>
    <w:lvl w:ilvl="0" w:tplc="0CD6D41C">
      <w:start w:val="1"/>
      <w:numFmt w:val="bullet"/>
      <w:lvlText w:val=""/>
      <w:lvlJc w:val="left"/>
      <w:pPr>
        <w:tabs>
          <w:tab w:val="num" w:pos="1800"/>
        </w:tabs>
        <w:ind w:left="1800" w:hanging="360"/>
      </w:pPr>
      <w:rPr>
        <w:rFonts w:ascii="Wingdings" w:hAnsi="Wingdings" w:hint="default"/>
        <w:sz w:val="2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EB3BC3"/>
    <w:multiLevelType w:val="hybridMultilevel"/>
    <w:tmpl w:val="F6104A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2585B80"/>
    <w:multiLevelType w:val="hybridMultilevel"/>
    <w:tmpl w:val="6F1AC5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335164B"/>
    <w:multiLevelType w:val="hybridMultilevel"/>
    <w:tmpl w:val="04740D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39E5668"/>
    <w:multiLevelType w:val="hybridMultilevel"/>
    <w:tmpl w:val="171E17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72E7987"/>
    <w:multiLevelType w:val="hybridMultilevel"/>
    <w:tmpl w:val="1A20A046"/>
    <w:lvl w:ilvl="0" w:tplc="F34EB78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B1945C9"/>
    <w:multiLevelType w:val="hybridMultilevel"/>
    <w:tmpl w:val="FAE6D9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0311E7D"/>
    <w:multiLevelType w:val="hybridMultilevel"/>
    <w:tmpl w:val="EA789112"/>
    <w:lvl w:ilvl="0" w:tplc="DB3C0BE6">
      <w:start w:val="1"/>
      <w:numFmt w:val="lowerLetter"/>
      <w:lvlText w:val="%1."/>
      <w:lvlJc w:val="left"/>
      <w:pPr>
        <w:ind w:left="720" w:hanging="360"/>
      </w:pPr>
      <w:rPr>
        <w:rFonts w:ascii="Verdana" w:eastAsia="Times New Roman" w:hAnsi="Verdana" w:cs="Times New Roman"/>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09F1DA7"/>
    <w:multiLevelType w:val="hybridMultilevel"/>
    <w:tmpl w:val="7A14D2BA"/>
    <w:lvl w:ilvl="0" w:tplc="0CD6D41C">
      <w:start w:val="1"/>
      <w:numFmt w:val="bullet"/>
      <w:lvlText w:val=""/>
      <w:lvlJc w:val="left"/>
      <w:pPr>
        <w:tabs>
          <w:tab w:val="num" w:pos="1068"/>
        </w:tabs>
        <w:ind w:left="1068" w:hanging="360"/>
      </w:pPr>
      <w:rPr>
        <w:rFonts w:ascii="Wingdings" w:hAnsi="Wingdings" w:hint="default"/>
        <w:sz w:val="21"/>
      </w:rPr>
    </w:lvl>
    <w:lvl w:ilvl="1" w:tplc="0C0A0003">
      <w:start w:val="1"/>
      <w:numFmt w:val="bullet"/>
      <w:lvlText w:val="o"/>
      <w:lvlJc w:val="left"/>
      <w:pPr>
        <w:tabs>
          <w:tab w:val="num" w:pos="708"/>
        </w:tabs>
        <w:ind w:left="708" w:hanging="360"/>
      </w:pPr>
      <w:rPr>
        <w:rFonts w:ascii="Courier New" w:hAnsi="Courier New" w:hint="default"/>
      </w:rPr>
    </w:lvl>
    <w:lvl w:ilvl="2" w:tplc="140A0001">
      <w:start w:val="1"/>
      <w:numFmt w:val="bullet"/>
      <w:lvlText w:val=""/>
      <w:lvlJc w:val="left"/>
      <w:pPr>
        <w:tabs>
          <w:tab w:val="num" w:pos="1428"/>
        </w:tabs>
        <w:ind w:left="1428" w:hanging="360"/>
      </w:pPr>
      <w:rPr>
        <w:rFonts w:ascii="Symbol" w:hAnsi="Symbol" w:hint="default"/>
      </w:rPr>
    </w:lvl>
    <w:lvl w:ilvl="3" w:tplc="0C0A000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14">
    <w:nsid w:val="23BC2C2B"/>
    <w:multiLevelType w:val="hybridMultilevel"/>
    <w:tmpl w:val="89A873C4"/>
    <w:lvl w:ilvl="0" w:tplc="892E3F24">
      <w:start w:val="1"/>
      <w:numFmt w:val="decimal"/>
      <w:lvlText w:val="%1."/>
      <w:lvlJc w:val="left"/>
      <w:pPr>
        <w:tabs>
          <w:tab w:val="num" w:pos="720"/>
        </w:tabs>
        <w:ind w:left="720" w:hanging="360"/>
      </w:pPr>
      <w:rPr>
        <w:rFonts w:ascii="Verdana" w:hAnsi="Verdana" w:hint="default"/>
        <w:b/>
        <w:i w:val="0"/>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056A53"/>
    <w:multiLevelType w:val="hybridMultilevel"/>
    <w:tmpl w:val="68FE5B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5B0120F"/>
    <w:multiLevelType w:val="hybridMultilevel"/>
    <w:tmpl w:val="1CF43008"/>
    <w:lvl w:ilvl="0" w:tplc="622C9752">
      <w:start w:val="1"/>
      <w:numFmt w:val="decimal"/>
      <w:lvlText w:val="%1."/>
      <w:lvlJc w:val="center"/>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29DF0926"/>
    <w:multiLevelType w:val="hybridMultilevel"/>
    <w:tmpl w:val="6A5E3A38"/>
    <w:lvl w:ilvl="0" w:tplc="0CD6D41C">
      <w:start w:val="1"/>
      <w:numFmt w:val="bullet"/>
      <w:lvlText w:val=""/>
      <w:lvlJc w:val="left"/>
      <w:pPr>
        <w:tabs>
          <w:tab w:val="num" w:pos="1068"/>
        </w:tabs>
        <w:ind w:left="1068" w:hanging="360"/>
      </w:pPr>
      <w:rPr>
        <w:rFonts w:ascii="Wingdings" w:hAnsi="Wingdings" w:hint="default"/>
        <w:sz w:val="21"/>
      </w:rPr>
    </w:lvl>
    <w:lvl w:ilvl="1" w:tplc="0C0A0003">
      <w:start w:val="1"/>
      <w:numFmt w:val="bullet"/>
      <w:lvlText w:val="o"/>
      <w:lvlJc w:val="left"/>
      <w:pPr>
        <w:tabs>
          <w:tab w:val="num" w:pos="708"/>
        </w:tabs>
        <w:ind w:left="708" w:hanging="360"/>
      </w:pPr>
      <w:rPr>
        <w:rFonts w:ascii="Courier New" w:hAnsi="Courier New" w:hint="default"/>
      </w:rPr>
    </w:lvl>
    <w:lvl w:ilvl="2" w:tplc="140A000D">
      <w:start w:val="1"/>
      <w:numFmt w:val="bullet"/>
      <w:lvlText w:val=""/>
      <w:lvlJc w:val="left"/>
      <w:pPr>
        <w:tabs>
          <w:tab w:val="num" w:pos="1428"/>
        </w:tabs>
        <w:ind w:left="1428" w:hanging="360"/>
      </w:pPr>
      <w:rPr>
        <w:rFonts w:ascii="Wingdings" w:hAnsi="Wingdings" w:hint="default"/>
        <w:sz w:val="21"/>
      </w:rPr>
    </w:lvl>
    <w:lvl w:ilvl="3" w:tplc="0C0A000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18">
    <w:nsid w:val="2B1D1FB6"/>
    <w:multiLevelType w:val="hybridMultilevel"/>
    <w:tmpl w:val="9E3C00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1FD6C4D"/>
    <w:multiLevelType w:val="hybridMultilevel"/>
    <w:tmpl w:val="6ADABCDE"/>
    <w:lvl w:ilvl="0" w:tplc="4C00E994">
      <w:start w:val="1"/>
      <w:numFmt w:val="decimal"/>
      <w:suff w:val="space"/>
      <w:lvlText w:val="%1."/>
      <w:lvlJc w:val="left"/>
      <w:pPr>
        <w:ind w:left="680" w:hanging="3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2151B82"/>
    <w:multiLevelType w:val="hybridMultilevel"/>
    <w:tmpl w:val="F048828C"/>
    <w:lvl w:ilvl="0" w:tplc="0CD6D41C">
      <w:start w:val="1"/>
      <w:numFmt w:val="bullet"/>
      <w:lvlText w:val=""/>
      <w:lvlJc w:val="left"/>
      <w:pPr>
        <w:tabs>
          <w:tab w:val="num" w:pos="360"/>
        </w:tabs>
        <w:ind w:left="360" w:hanging="360"/>
      </w:pPr>
      <w:rPr>
        <w:rFonts w:ascii="Wingdings" w:hAnsi="Wingdings" w:hint="default"/>
        <w:sz w:val="21"/>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21">
    <w:nsid w:val="35D15476"/>
    <w:multiLevelType w:val="hybridMultilevel"/>
    <w:tmpl w:val="01684B2E"/>
    <w:lvl w:ilvl="0" w:tplc="7D661D86">
      <w:start w:val="1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7920A31"/>
    <w:multiLevelType w:val="hybridMultilevel"/>
    <w:tmpl w:val="3E38795E"/>
    <w:lvl w:ilvl="0" w:tplc="0CD6D41C">
      <w:start w:val="1"/>
      <w:numFmt w:val="bullet"/>
      <w:lvlText w:val=""/>
      <w:lvlJc w:val="left"/>
      <w:pPr>
        <w:tabs>
          <w:tab w:val="num" w:pos="1068"/>
        </w:tabs>
        <w:ind w:left="1068" w:hanging="360"/>
      </w:pPr>
      <w:rPr>
        <w:rFonts w:ascii="Wingdings" w:hAnsi="Wingdings" w:hint="default"/>
        <w:sz w:val="21"/>
      </w:rPr>
    </w:lvl>
    <w:lvl w:ilvl="1" w:tplc="0C0A0003">
      <w:start w:val="1"/>
      <w:numFmt w:val="bullet"/>
      <w:lvlText w:val="o"/>
      <w:lvlJc w:val="left"/>
      <w:pPr>
        <w:tabs>
          <w:tab w:val="num" w:pos="708"/>
        </w:tabs>
        <w:ind w:left="708" w:hanging="360"/>
      </w:pPr>
      <w:rPr>
        <w:rFonts w:ascii="Courier New" w:hAnsi="Courier New" w:hint="default"/>
      </w:rPr>
    </w:lvl>
    <w:lvl w:ilvl="2" w:tplc="0CD6D41C">
      <w:start w:val="1"/>
      <w:numFmt w:val="bullet"/>
      <w:lvlText w:val=""/>
      <w:lvlJc w:val="left"/>
      <w:pPr>
        <w:tabs>
          <w:tab w:val="num" w:pos="1428"/>
        </w:tabs>
        <w:ind w:left="1428" w:hanging="360"/>
      </w:pPr>
      <w:rPr>
        <w:rFonts w:ascii="Wingdings" w:hAnsi="Wingdings" w:hint="default"/>
        <w:sz w:val="21"/>
      </w:rPr>
    </w:lvl>
    <w:lvl w:ilvl="3" w:tplc="0C0A000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23">
    <w:nsid w:val="3B196461"/>
    <w:multiLevelType w:val="hybridMultilevel"/>
    <w:tmpl w:val="6A281194"/>
    <w:lvl w:ilvl="0" w:tplc="4C00E994">
      <w:start w:val="1"/>
      <w:numFmt w:val="decimal"/>
      <w:suff w:val="space"/>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3E7D10F2"/>
    <w:multiLevelType w:val="hybridMultilevel"/>
    <w:tmpl w:val="A1D263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450B7AA5"/>
    <w:multiLevelType w:val="hybridMultilevel"/>
    <w:tmpl w:val="9E6C2440"/>
    <w:lvl w:ilvl="0" w:tplc="622C9752">
      <w:start w:val="1"/>
      <w:numFmt w:val="decimal"/>
      <w:lvlText w:val="%1."/>
      <w:lvlJc w:val="center"/>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469866E4"/>
    <w:multiLevelType w:val="hybridMultilevel"/>
    <w:tmpl w:val="651C70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82D28CD"/>
    <w:multiLevelType w:val="hybridMultilevel"/>
    <w:tmpl w:val="273202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4C215D24"/>
    <w:multiLevelType w:val="hybridMultilevel"/>
    <w:tmpl w:val="DD20A8F0"/>
    <w:lvl w:ilvl="0" w:tplc="140A0001">
      <w:start w:val="1"/>
      <w:numFmt w:val="bullet"/>
      <w:lvlText w:val=""/>
      <w:lvlJc w:val="left"/>
      <w:pPr>
        <w:tabs>
          <w:tab w:val="num" w:pos="1068"/>
        </w:tabs>
        <w:ind w:left="1068" w:hanging="360"/>
      </w:pPr>
      <w:rPr>
        <w:rFonts w:ascii="Symbol" w:hAnsi="Symbol" w:hint="default"/>
        <w:sz w:val="21"/>
      </w:rPr>
    </w:lvl>
    <w:lvl w:ilvl="1" w:tplc="0C0A0003">
      <w:start w:val="1"/>
      <w:numFmt w:val="bullet"/>
      <w:lvlText w:val="o"/>
      <w:lvlJc w:val="left"/>
      <w:pPr>
        <w:tabs>
          <w:tab w:val="num" w:pos="708"/>
        </w:tabs>
        <w:ind w:left="708" w:hanging="360"/>
      </w:pPr>
      <w:rPr>
        <w:rFonts w:ascii="Courier New" w:hAnsi="Courier New" w:hint="default"/>
      </w:rPr>
    </w:lvl>
    <w:lvl w:ilvl="2" w:tplc="0C0A0005">
      <w:start w:val="1"/>
      <w:numFmt w:val="bullet"/>
      <w:lvlText w:val=""/>
      <w:lvlJc w:val="left"/>
      <w:pPr>
        <w:tabs>
          <w:tab w:val="num" w:pos="1428"/>
        </w:tabs>
        <w:ind w:left="1428" w:hanging="360"/>
      </w:pPr>
      <w:rPr>
        <w:rFonts w:ascii="Wingdings" w:hAnsi="Wingdings" w:hint="default"/>
      </w:rPr>
    </w:lvl>
    <w:lvl w:ilvl="3" w:tplc="0C0A000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29">
    <w:nsid w:val="4C2976B7"/>
    <w:multiLevelType w:val="hybridMultilevel"/>
    <w:tmpl w:val="1DCC9E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1CA027A"/>
    <w:multiLevelType w:val="hybridMultilevel"/>
    <w:tmpl w:val="4F96B83E"/>
    <w:lvl w:ilvl="0" w:tplc="140A0001">
      <w:start w:val="1"/>
      <w:numFmt w:val="bullet"/>
      <w:lvlText w:val=""/>
      <w:lvlJc w:val="left"/>
      <w:pPr>
        <w:tabs>
          <w:tab w:val="num" w:pos="1068"/>
        </w:tabs>
        <w:ind w:left="1068" w:hanging="360"/>
      </w:pPr>
      <w:rPr>
        <w:rFonts w:ascii="Symbol" w:hAnsi="Symbol" w:hint="default"/>
        <w:sz w:val="21"/>
      </w:rPr>
    </w:lvl>
    <w:lvl w:ilvl="1" w:tplc="0C0A0003">
      <w:start w:val="1"/>
      <w:numFmt w:val="bullet"/>
      <w:lvlText w:val="o"/>
      <w:lvlJc w:val="left"/>
      <w:pPr>
        <w:tabs>
          <w:tab w:val="num" w:pos="708"/>
        </w:tabs>
        <w:ind w:left="708" w:hanging="360"/>
      </w:pPr>
      <w:rPr>
        <w:rFonts w:ascii="Courier New" w:hAnsi="Courier New" w:hint="default"/>
      </w:rPr>
    </w:lvl>
    <w:lvl w:ilvl="2" w:tplc="0C0A0005">
      <w:start w:val="1"/>
      <w:numFmt w:val="bullet"/>
      <w:lvlText w:val=""/>
      <w:lvlJc w:val="left"/>
      <w:pPr>
        <w:tabs>
          <w:tab w:val="num" w:pos="1428"/>
        </w:tabs>
        <w:ind w:left="1428" w:hanging="360"/>
      </w:pPr>
      <w:rPr>
        <w:rFonts w:ascii="Wingdings" w:hAnsi="Wingdings" w:hint="default"/>
      </w:rPr>
    </w:lvl>
    <w:lvl w:ilvl="3" w:tplc="0C0A000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31">
    <w:nsid w:val="5481200D"/>
    <w:multiLevelType w:val="hybridMultilevel"/>
    <w:tmpl w:val="2E42055A"/>
    <w:lvl w:ilvl="0" w:tplc="9636351E">
      <w:start w:val="11"/>
      <w:numFmt w:val="decimal"/>
      <w:lvlText w:val="1%1)"/>
      <w:lvlJc w:val="center"/>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4E92CE5"/>
    <w:multiLevelType w:val="hybridMultilevel"/>
    <w:tmpl w:val="1B2CB900"/>
    <w:lvl w:ilvl="0" w:tplc="0CD6D41C">
      <w:start w:val="1"/>
      <w:numFmt w:val="bullet"/>
      <w:lvlText w:val=""/>
      <w:lvlJc w:val="left"/>
      <w:pPr>
        <w:tabs>
          <w:tab w:val="num" w:pos="1068"/>
        </w:tabs>
        <w:ind w:left="1068" w:hanging="360"/>
      </w:pPr>
      <w:rPr>
        <w:rFonts w:ascii="Wingdings" w:hAnsi="Wingdings" w:hint="default"/>
        <w:sz w:val="21"/>
      </w:rPr>
    </w:lvl>
    <w:lvl w:ilvl="1" w:tplc="0C0A0003">
      <w:start w:val="1"/>
      <w:numFmt w:val="bullet"/>
      <w:lvlText w:val="o"/>
      <w:lvlJc w:val="left"/>
      <w:pPr>
        <w:tabs>
          <w:tab w:val="num" w:pos="708"/>
        </w:tabs>
        <w:ind w:left="708" w:hanging="360"/>
      </w:pPr>
      <w:rPr>
        <w:rFonts w:ascii="Courier New" w:hAnsi="Courier New" w:hint="default"/>
      </w:rPr>
    </w:lvl>
    <w:lvl w:ilvl="2" w:tplc="0C0A0005">
      <w:start w:val="1"/>
      <w:numFmt w:val="bullet"/>
      <w:lvlText w:val=""/>
      <w:lvlJc w:val="left"/>
      <w:pPr>
        <w:tabs>
          <w:tab w:val="num" w:pos="1428"/>
        </w:tabs>
        <w:ind w:left="1428" w:hanging="360"/>
      </w:pPr>
      <w:rPr>
        <w:rFonts w:ascii="Wingdings" w:hAnsi="Wingdings" w:hint="default"/>
      </w:rPr>
    </w:lvl>
    <w:lvl w:ilvl="3" w:tplc="0C0A0001">
      <w:start w:val="1"/>
      <w:numFmt w:val="bullet"/>
      <w:lvlText w:val=""/>
      <w:lvlJc w:val="left"/>
      <w:pPr>
        <w:tabs>
          <w:tab w:val="num" w:pos="2148"/>
        </w:tabs>
        <w:ind w:left="2148" w:hanging="360"/>
      </w:pPr>
      <w:rPr>
        <w:rFonts w:ascii="Symbol" w:hAnsi="Symbol" w:hint="default"/>
      </w:rPr>
    </w:lvl>
    <w:lvl w:ilvl="4" w:tplc="0C0A0003" w:tentative="1">
      <w:start w:val="1"/>
      <w:numFmt w:val="bullet"/>
      <w:lvlText w:val="o"/>
      <w:lvlJc w:val="left"/>
      <w:pPr>
        <w:tabs>
          <w:tab w:val="num" w:pos="2868"/>
        </w:tabs>
        <w:ind w:left="2868" w:hanging="360"/>
      </w:pPr>
      <w:rPr>
        <w:rFonts w:ascii="Courier New" w:hAnsi="Courier New" w:hint="default"/>
      </w:rPr>
    </w:lvl>
    <w:lvl w:ilvl="5" w:tplc="0C0A0005" w:tentative="1">
      <w:start w:val="1"/>
      <w:numFmt w:val="bullet"/>
      <w:lvlText w:val=""/>
      <w:lvlJc w:val="left"/>
      <w:pPr>
        <w:tabs>
          <w:tab w:val="num" w:pos="3588"/>
        </w:tabs>
        <w:ind w:left="3588" w:hanging="360"/>
      </w:pPr>
      <w:rPr>
        <w:rFonts w:ascii="Wingdings" w:hAnsi="Wingdings" w:hint="default"/>
      </w:rPr>
    </w:lvl>
    <w:lvl w:ilvl="6" w:tplc="0C0A0001" w:tentative="1">
      <w:start w:val="1"/>
      <w:numFmt w:val="bullet"/>
      <w:lvlText w:val=""/>
      <w:lvlJc w:val="left"/>
      <w:pPr>
        <w:tabs>
          <w:tab w:val="num" w:pos="4308"/>
        </w:tabs>
        <w:ind w:left="4308" w:hanging="360"/>
      </w:pPr>
      <w:rPr>
        <w:rFonts w:ascii="Symbol" w:hAnsi="Symbol" w:hint="default"/>
      </w:rPr>
    </w:lvl>
    <w:lvl w:ilvl="7" w:tplc="0C0A0003" w:tentative="1">
      <w:start w:val="1"/>
      <w:numFmt w:val="bullet"/>
      <w:lvlText w:val="o"/>
      <w:lvlJc w:val="left"/>
      <w:pPr>
        <w:tabs>
          <w:tab w:val="num" w:pos="5028"/>
        </w:tabs>
        <w:ind w:left="5028" w:hanging="360"/>
      </w:pPr>
      <w:rPr>
        <w:rFonts w:ascii="Courier New" w:hAnsi="Courier New" w:hint="default"/>
      </w:rPr>
    </w:lvl>
    <w:lvl w:ilvl="8" w:tplc="0C0A0005" w:tentative="1">
      <w:start w:val="1"/>
      <w:numFmt w:val="bullet"/>
      <w:lvlText w:val=""/>
      <w:lvlJc w:val="left"/>
      <w:pPr>
        <w:tabs>
          <w:tab w:val="num" w:pos="5748"/>
        </w:tabs>
        <w:ind w:left="5748" w:hanging="360"/>
      </w:pPr>
      <w:rPr>
        <w:rFonts w:ascii="Wingdings" w:hAnsi="Wingdings" w:hint="default"/>
      </w:rPr>
    </w:lvl>
  </w:abstractNum>
  <w:abstractNum w:abstractNumId="33">
    <w:nsid w:val="60612E17"/>
    <w:multiLevelType w:val="hybridMultilevel"/>
    <w:tmpl w:val="AEC402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18C7B2D"/>
    <w:multiLevelType w:val="hybridMultilevel"/>
    <w:tmpl w:val="786AE802"/>
    <w:lvl w:ilvl="0" w:tplc="DF380BBC">
      <w:start w:val="1"/>
      <w:numFmt w:val="decimal"/>
      <w:lvlText w:val="%1."/>
      <w:lvlJc w:val="left"/>
      <w:pPr>
        <w:tabs>
          <w:tab w:val="num" w:pos="720"/>
        </w:tabs>
        <w:ind w:left="720" w:hanging="360"/>
      </w:pPr>
      <w:rPr>
        <w:rFonts w:ascii="Verdana" w:hAnsi="Verdana" w:hint="default"/>
        <w:b/>
        <w:i w:val="0"/>
        <w:sz w:val="21"/>
      </w:rPr>
    </w:lvl>
    <w:lvl w:ilvl="1" w:tplc="E39EE42A">
      <w:start w:val="1"/>
      <w:numFmt w:val="lowerLetter"/>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30632D4"/>
    <w:multiLevelType w:val="hybridMultilevel"/>
    <w:tmpl w:val="4F46B3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77843EE"/>
    <w:multiLevelType w:val="hybridMultilevel"/>
    <w:tmpl w:val="C9B0EC04"/>
    <w:lvl w:ilvl="0" w:tplc="9438B97E">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B95063F"/>
    <w:multiLevelType w:val="hybridMultilevel"/>
    <w:tmpl w:val="AF3299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6F8642F8"/>
    <w:multiLevelType w:val="hybridMultilevel"/>
    <w:tmpl w:val="8F74CD82"/>
    <w:lvl w:ilvl="0" w:tplc="8394318E">
      <w:start w:val="1"/>
      <w:numFmt w:val="lowerLetter"/>
      <w:lvlText w:val="%1-"/>
      <w:lvlJc w:val="left"/>
      <w:pPr>
        <w:ind w:left="1080" w:hanging="360"/>
      </w:pPr>
      <w:rPr>
        <w:rFonts w:ascii="Verdana" w:eastAsia="Times New Roman" w:hAnsi="Verdana" w:cs="Times New Roman"/>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9">
    <w:nsid w:val="71620293"/>
    <w:multiLevelType w:val="hybridMultilevel"/>
    <w:tmpl w:val="EABA9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716B58B9"/>
    <w:multiLevelType w:val="hybridMultilevel"/>
    <w:tmpl w:val="DAD6E9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76573C74"/>
    <w:multiLevelType w:val="hybridMultilevel"/>
    <w:tmpl w:val="EB583AD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2">
    <w:nsid w:val="76921487"/>
    <w:multiLevelType w:val="hybridMultilevel"/>
    <w:tmpl w:val="C01A22A8"/>
    <w:lvl w:ilvl="0" w:tplc="DF380BBC">
      <w:start w:val="1"/>
      <w:numFmt w:val="decimal"/>
      <w:lvlText w:val="%1."/>
      <w:lvlJc w:val="left"/>
      <w:pPr>
        <w:tabs>
          <w:tab w:val="num" w:pos="720"/>
        </w:tabs>
        <w:ind w:left="720" w:hanging="360"/>
      </w:pPr>
      <w:rPr>
        <w:rFonts w:ascii="Verdana" w:hAnsi="Verdana" w:hint="default"/>
        <w:b/>
        <w:i w:val="0"/>
        <w:sz w:val="2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A5B4D70"/>
    <w:multiLevelType w:val="hybridMultilevel"/>
    <w:tmpl w:val="016E34E8"/>
    <w:lvl w:ilvl="0" w:tplc="AF6E98A4">
      <w:start w:val="1"/>
      <w:numFmt w:val="decimal"/>
      <w:lvlText w:val="%1."/>
      <w:lvlJc w:val="left"/>
      <w:pPr>
        <w:tabs>
          <w:tab w:val="num" w:pos="720"/>
        </w:tabs>
        <w:ind w:left="720" w:hanging="360"/>
      </w:pPr>
      <w:rPr>
        <w:rFonts w:ascii="Verdana" w:hAnsi="Verdana" w:hint="default"/>
        <w:b/>
        <w:i w:val="0"/>
        <w:sz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A880021"/>
    <w:multiLevelType w:val="hybridMultilevel"/>
    <w:tmpl w:val="1A20A046"/>
    <w:lvl w:ilvl="0" w:tplc="F34EB78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B361663"/>
    <w:multiLevelType w:val="hybridMultilevel"/>
    <w:tmpl w:val="03C4BE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7D52789E"/>
    <w:multiLevelType w:val="hybridMultilevel"/>
    <w:tmpl w:val="14320A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nsid w:val="7EB3707D"/>
    <w:multiLevelType w:val="hybridMultilevel"/>
    <w:tmpl w:val="8D44CC88"/>
    <w:lvl w:ilvl="0" w:tplc="489AB72E">
      <w:start w:val="1"/>
      <w:numFmt w:val="decimal"/>
      <w:lvlText w:val="1%1)"/>
      <w:lvlJc w:val="center"/>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2"/>
  </w:num>
  <w:num w:numId="2">
    <w:abstractNumId w:val="42"/>
  </w:num>
  <w:num w:numId="3">
    <w:abstractNumId w:val="14"/>
  </w:num>
  <w:num w:numId="4">
    <w:abstractNumId w:val="34"/>
  </w:num>
  <w:num w:numId="5">
    <w:abstractNumId w:val="5"/>
  </w:num>
  <w:num w:numId="6">
    <w:abstractNumId w:val="20"/>
  </w:num>
  <w:num w:numId="7">
    <w:abstractNumId w:val="43"/>
  </w:num>
  <w:num w:numId="8">
    <w:abstractNumId w:val="4"/>
  </w:num>
  <w:num w:numId="9">
    <w:abstractNumId w:val="12"/>
  </w:num>
  <w:num w:numId="10">
    <w:abstractNumId w:val="36"/>
  </w:num>
  <w:num w:numId="11">
    <w:abstractNumId w:val="38"/>
  </w:num>
  <w:num w:numId="12">
    <w:abstractNumId w:val="29"/>
  </w:num>
  <w:num w:numId="13">
    <w:abstractNumId w:val="35"/>
  </w:num>
  <w:num w:numId="14">
    <w:abstractNumId w:val="45"/>
  </w:num>
  <w:num w:numId="15">
    <w:abstractNumId w:val="46"/>
  </w:num>
  <w:num w:numId="16">
    <w:abstractNumId w:val="2"/>
  </w:num>
  <w:num w:numId="17">
    <w:abstractNumId w:val="41"/>
  </w:num>
  <w:num w:numId="18">
    <w:abstractNumId w:val="27"/>
  </w:num>
  <w:num w:numId="19">
    <w:abstractNumId w:val="3"/>
  </w:num>
  <w:num w:numId="20">
    <w:abstractNumId w:val="11"/>
  </w:num>
  <w:num w:numId="21">
    <w:abstractNumId w:val="9"/>
  </w:num>
  <w:num w:numId="22">
    <w:abstractNumId w:val="21"/>
  </w:num>
  <w:num w:numId="23">
    <w:abstractNumId w:val="1"/>
  </w:num>
  <w:num w:numId="24">
    <w:abstractNumId w:val="31"/>
  </w:num>
  <w:num w:numId="25">
    <w:abstractNumId w:val="47"/>
  </w:num>
  <w:num w:numId="26">
    <w:abstractNumId w:val="7"/>
  </w:num>
  <w:num w:numId="27">
    <w:abstractNumId w:val="26"/>
  </w:num>
  <w:num w:numId="28">
    <w:abstractNumId w:val="19"/>
  </w:num>
  <w:num w:numId="29">
    <w:abstractNumId w:val="25"/>
  </w:num>
  <w:num w:numId="30">
    <w:abstractNumId w:val="19"/>
    <w:lvlOverride w:ilvl="0">
      <w:lvl w:ilvl="0" w:tplc="4C00E994">
        <w:start w:val="1"/>
        <w:numFmt w:val="decimal"/>
        <w:suff w:val="space"/>
        <w:lvlText w:val="%1."/>
        <w:lvlJc w:val="left"/>
        <w:pPr>
          <w:ind w:left="567" w:hanging="207"/>
        </w:pPr>
        <w:rPr>
          <w:rFonts w:hint="default"/>
        </w:rPr>
      </w:lvl>
    </w:lvlOverride>
    <w:lvlOverride w:ilvl="1">
      <w:lvl w:ilvl="1" w:tplc="140A0019" w:tentative="1">
        <w:start w:val="1"/>
        <w:numFmt w:val="lowerLetter"/>
        <w:lvlText w:val="%2."/>
        <w:lvlJc w:val="left"/>
        <w:pPr>
          <w:ind w:left="1440" w:hanging="360"/>
        </w:pPr>
      </w:lvl>
    </w:lvlOverride>
    <w:lvlOverride w:ilvl="2">
      <w:lvl w:ilvl="2" w:tplc="140A001B" w:tentative="1">
        <w:start w:val="1"/>
        <w:numFmt w:val="lowerRoman"/>
        <w:lvlText w:val="%3."/>
        <w:lvlJc w:val="right"/>
        <w:pPr>
          <w:ind w:left="2160" w:hanging="180"/>
        </w:pPr>
      </w:lvl>
    </w:lvlOverride>
    <w:lvlOverride w:ilvl="3">
      <w:lvl w:ilvl="3" w:tplc="140A000F" w:tentative="1">
        <w:start w:val="1"/>
        <w:numFmt w:val="decimal"/>
        <w:lvlText w:val="%4."/>
        <w:lvlJc w:val="left"/>
        <w:pPr>
          <w:ind w:left="2880" w:hanging="360"/>
        </w:pPr>
      </w:lvl>
    </w:lvlOverride>
    <w:lvlOverride w:ilvl="4">
      <w:lvl w:ilvl="4" w:tplc="140A0019" w:tentative="1">
        <w:start w:val="1"/>
        <w:numFmt w:val="lowerLetter"/>
        <w:lvlText w:val="%5."/>
        <w:lvlJc w:val="left"/>
        <w:pPr>
          <w:ind w:left="3600" w:hanging="360"/>
        </w:pPr>
      </w:lvl>
    </w:lvlOverride>
    <w:lvlOverride w:ilvl="5">
      <w:lvl w:ilvl="5" w:tplc="140A001B" w:tentative="1">
        <w:start w:val="1"/>
        <w:numFmt w:val="lowerRoman"/>
        <w:lvlText w:val="%6."/>
        <w:lvlJc w:val="right"/>
        <w:pPr>
          <w:ind w:left="4320" w:hanging="180"/>
        </w:pPr>
      </w:lvl>
    </w:lvlOverride>
    <w:lvlOverride w:ilvl="6">
      <w:lvl w:ilvl="6" w:tplc="140A000F" w:tentative="1">
        <w:start w:val="1"/>
        <w:numFmt w:val="decimal"/>
        <w:lvlText w:val="%7."/>
        <w:lvlJc w:val="left"/>
        <w:pPr>
          <w:ind w:left="5040" w:hanging="360"/>
        </w:pPr>
      </w:lvl>
    </w:lvlOverride>
    <w:lvlOverride w:ilvl="7">
      <w:lvl w:ilvl="7" w:tplc="140A0019" w:tentative="1">
        <w:start w:val="1"/>
        <w:numFmt w:val="lowerLetter"/>
        <w:lvlText w:val="%8."/>
        <w:lvlJc w:val="left"/>
        <w:pPr>
          <w:ind w:left="5760" w:hanging="360"/>
        </w:pPr>
      </w:lvl>
    </w:lvlOverride>
    <w:lvlOverride w:ilvl="8">
      <w:lvl w:ilvl="8" w:tplc="140A001B" w:tentative="1">
        <w:start w:val="1"/>
        <w:numFmt w:val="lowerRoman"/>
        <w:lvlText w:val="%9."/>
        <w:lvlJc w:val="right"/>
        <w:pPr>
          <w:ind w:left="6480" w:hanging="180"/>
        </w:pPr>
      </w:lvl>
    </w:lvlOverride>
  </w:num>
  <w:num w:numId="31">
    <w:abstractNumId w:val="8"/>
  </w:num>
  <w:num w:numId="32">
    <w:abstractNumId w:val="23"/>
  </w:num>
  <w:num w:numId="33">
    <w:abstractNumId w:val="15"/>
  </w:num>
  <w:num w:numId="34">
    <w:abstractNumId w:val="33"/>
  </w:num>
  <w:num w:numId="35">
    <w:abstractNumId w:val="6"/>
  </w:num>
  <w:num w:numId="36">
    <w:abstractNumId w:val="39"/>
  </w:num>
  <w:num w:numId="37">
    <w:abstractNumId w:val="40"/>
  </w:num>
  <w:num w:numId="38">
    <w:abstractNumId w:val="24"/>
  </w:num>
  <w:num w:numId="39">
    <w:abstractNumId w:val="37"/>
  </w:num>
  <w:num w:numId="40">
    <w:abstractNumId w:val="18"/>
  </w:num>
  <w:num w:numId="41">
    <w:abstractNumId w:val="13"/>
  </w:num>
  <w:num w:numId="42">
    <w:abstractNumId w:val="30"/>
  </w:num>
  <w:num w:numId="43">
    <w:abstractNumId w:val="28"/>
  </w:num>
  <w:num w:numId="44">
    <w:abstractNumId w:val="22"/>
  </w:num>
  <w:num w:numId="45">
    <w:abstractNumId w:val="17"/>
  </w:num>
  <w:num w:numId="46">
    <w:abstractNumId w:val="16"/>
  </w:num>
  <w:num w:numId="47">
    <w:abstractNumId w:val="10"/>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A9"/>
    <w:rsid w:val="000011FF"/>
    <w:rsid w:val="00001A9C"/>
    <w:rsid w:val="00003720"/>
    <w:rsid w:val="00003BD3"/>
    <w:rsid w:val="00005984"/>
    <w:rsid w:val="00013773"/>
    <w:rsid w:val="00016346"/>
    <w:rsid w:val="00017C20"/>
    <w:rsid w:val="00021BF5"/>
    <w:rsid w:val="00021FD4"/>
    <w:rsid w:val="0002295D"/>
    <w:rsid w:val="00025EED"/>
    <w:rsid w:val="00031441"/>
    <w:rsid w:val="0003492F"/>
    <w:rsid w:val="00037246"/>
    <w:rsid w:val="00040BB2"/>
    <w:rsid w:val="0004624E"/>
    <w:rsid w:val="00051273"/>
    <w:rsid w:val="000577F4"/>
    <w:rsid w:val="00057EC3"/>
    <w:rsid w:val="000642E5"/>
    <w:rsid w:val="00070090"/>
    <w:rsid w:val="00074A29"/>
    <w:rsid w:val="00087448"/>
    <w:rsid w:val="00091369"/>
    <w:rsid w:val="00091A2E"/>
    <w:rsid w:val="000941CD"/>
    <w:rsid w:val="000942DE"/>
    <w:rsid w:val="00095D5D"/>
    <w:rsid w:val="00095E97"/>
    <w:rsid w:val="00095EB7"/>
    <w:rsid w:val="000A1EF6"/>
    <w:rsid w:val="000A2CD6"/>
    <w:rsid w:val="000C1D3C"/>
    <w:rsid w:val="000C33D8"/>
    <w:rsid w:val="000C424D"/>
    <w:rsid w:val="000C5BE2"/>
    <w:rsid w:val="000D0A79"/>
    <w:rsid w:val="000D0E32"/>
    <w:rsid w:val="000D0FB8"/>
    <w:rsid w:val="000D1E85"/>
    <w:rsid w:val="000D62B5"/>
    <w:rsid w:val="000D7F22"/>
    <w:rsid w:val="000E502B"/>
    <w:rsid w:val="000E5487"/>
    <w:rsid w:val="000E620A"/>
    <w:rsid w:val="000F30C1"/>
    <w:rsid w:val="0010304A"/>
    <w:rsid w:val="00106136"/>
    <w:rsid w:val="00106933"/>
    <w:rsid w:val="00107BAB"/>
    <w:rsid w:val="00120498"/>
    <w:rsid w:val="00123D37"/>
    <w:rsid w:val="001257D1"/>
    <w:rsid w:val="00127D6B"/>
    <w:rsid w:val="00134B99"/>
    <w:rsid w:val="0015190A"/>
    <w:rsid w:val="00155C47"/>
    <w:rsid w:val="00160781"/>
    <w:rsid w:val="00161982"/>
    <w:rsid w:val="00162F52"/>
    <w:rsid w:val="00163BD5"/>
    <w:rsid w:val="00166F9E"/>
    <w:rsid w:val="00171756"/>
    <w:rsid w:val="00171B75"/>
    <w:rsid w:val="00171C02"/>
    <w:rsid w:val="0017219D"/>
    <w:rsid w:val="00177234"/>
    <w:rsid w:val="00177C1A"/>
    <w:rsid w:val="00181340"/>
    <w:rsid w:val="0018140E"/>
    <w:rsid w:val="00182199"/>
    <w:rsid w:val="00184B1E"/>
    <w:rsid w:val="00185475"/>
    <w:rsid w:val="001865CA"/>
    <w:rsid w:val="0018739E"/>
    <w:rsid w:val="00187BFA"/>
    <w:rsid w:val="00195A59"/>
    <w:rsid w:val="001A012C"/>
    <w:rsid w:val="001A0A7E"/>
    <w:rsid w:val="001A0BCF"/>
    <w:rsid w:val="001A2AE6"/>
    <w:rsid w:val="001A4DB9"/>
    <w:rsid w:val="001A7212"/>
    <w:rsid w:val="001B25F4"/>
    <w:rsid w:val="001C2555"/>
    <w:rsid w:val="001C2C64"/>
    <w:rsid w:val="001C62F2"/>
    <w:rsid w:val="001D3AFB"/>
    <w:rsid w:val="001E257D"/>
    <w:rsid w:val="001F1928"/>
    <w:rsid w:val="001F2B50"/>
    <w:rsid w:val="001F53AA"/>
    <w:rsid w:val="001F60CC"/>
    <w:rsid w:val="001F61DE"/>
    <w:rsid w:val="002027D4"/>
    <w:rsid w:val="00203389"/>
    <w:rsid w:val="00204986"/>
    <w:rsid w:val="00206B72"/>
    <w:rsid w:val="0020704C"/>
    <w:rsid w:val="002108EF"/>
    <w:rsid w:val="00210D21"/>
    <w:rsid w:val="00213B90"/>
    <w:rsid w:val="00214665"/>
    <w:rsid w:val="002157D4"/>
    <w:rsid w:val="00220783"/>
    <w:rsid w:val="00230546"/>
    <w:rsid w:val="002308E9"/>
    <w:rsid w:val="00230A10"/>
    <w:rsid w:val="00230F1C"/>
    <w:rsid w:val="00237FD1"/>
    <w:rsid w:val="00240EA4"/>
    <w:rsid w:val="0024217D"/>
    <w:rsid w:val="00245770"/>
    <w:rsid w:val="00253151"/>
    <w:rsid w:val="002613F5"/>
    <w:rsid w:val="002717C7"/>
    <w:rsid w:val="00284D49"/>
    <w:rsid w:val="002875DA"/>
    <w:rsid w:val="00290DB6"/>
    <w:rsid w:val="00292DDE"/>
    <w:rsid w:val="002A35DB"/>
    <w:rsid w:val="002A3CBC"/>
    <w:rsid w:val="002A447D"/>
    <w:rsid w:val="002B5EB1"/>
    <w:rsid w:val="002B6ED3"/>
    <w:rsid w:val="002C09F1"/>
    <w:rsid w:val="002C169A"/>
    <w:rsid w:val="002C2F5C"/>
    <w:rsid w:val="002C4140"/>
    <w:rsid w:val="002C6BC9"/>
    <w:rsid w:val="002D0538"/>
    <w:rsid w:val="002D0F4C"/>
    <w:rsid w:val="002D1041"/>
    <w:rsid w:val="002D120B"/>
    <w:rsid w:val="002D2DFC"/>
    <w:rsid w:val="002D37E2"/>
    <w:rsid w:val="002D78E3"/>
    <w:rsid w:val="002E1E05"/>
    <w:rsid w:val="002E2900"/>
    <w:rsid w:val="002E3E20"/>
    <w:rsid w:val="002E7A95"/>
    <w:rsid w:val="002F0408"/>
    <w:rsid w:val="002F2F13"/>
    <w:rsid w:val="002F740F"/>
    <w:rsid w:val="002F747D"/>
    <w:rsid w:val="002F76BE"/>
    <w:rsid w:val="00301132"/>
    <w:rsid w:val="0030241B"/>
    <w:rsid w:val="00302887"/>
    <w:rsid w:val="00302BA7"/>
    <w:rsid w:val="00303C1E"/>
    <w:rsid w:val="00307620"/>
    <w:rsid w:val="00307AE4"/>
    <w:rsid w:val="003129DD"/>
    <w:rsid w:val="0032795E"/>
    <w:rsid w:val="00331755"/>
    <w:rsid w:val="0033320B"/>
    <w:rsid w:val="00342CE6"/>
    <w:rsid w:val="003434C5"/>
    <w:rsid w:val="00347F5B"/>
    <w:rsid w:val="003501F3"/>
    <w:rsid w:val="00354EFE"/>
    <w:rsid w:val="00356644"/>
    <w:rsid w:val="00360E4F"/>
    <w:rsid w:val="00362653"/>
    <w:rsid w:val="00363E24"/>
    <w:rsid w:val="0036402D"/>
    <w:rsid w:val="0036673F"/>
    <w:rsid w:val="0037078B"/>
    <w:rsid w:val="003715D5"/>
    <w:rsid w:val="00374368"/>
    <w:rsid w:val="003805BD"/>
    <w:rsid w:val="003817DC"/>
    <w:rsid w:val="00382A05"/>
    <w:rsid w:val="00382D2E"/>
    <w:rsid w:val="00385A20"/>
    <w:rsid w:val="003861BB"/>
    <w:rsid w:val="0038683A"/>
    <w:rsid w:val="0039108A"/>
    <w:rsid w:val="003925D4"/>
    <w:rsid w:val="00395DB5"/>
    <w:rsid w:val="003A4161"/>
    <w:rsid w:val="003A42B1"/>
    <w:rsid w:val="003A45D1"/>
    <w:rsid w:val="003B01FC"/>
    <w:rsid w:val="003B03E8"/>
    <w:rsid w:val="003B1FAC"/>
    <w:rsid w:val="003B74C5"/>
    <w:rsid w:val="003C2EC6"/>
    <w:rsid w:val="003C38E9"/>
    <w:rsid w:val="003C3CAE"/>
    <w:rsid w:val="003C5406"/>
    <w:rsid w:val="003D1272"/>
    <w:rsid w:val="003D41BA"/>
    <w:rsid w:val="003D4A30"/>
    <w:rsid w:val="003D7B4A"/>
    <w:rsid w:val="003E0C17"/>
    <w:rsid w:val="003E263F"/>
    <w:rsid w:val="003E314A"/>
    <w:rsid w:val="003E4141"/>
    <w:rsid w:val="003E6F13"/>
    <w:rsid w:val="003F2207"/>
    <w:rsid w:val="003F4E33"/>
    <w:rsid w:val="003F501B"/>
    <w:rsid w:val="00404D0B"/>
    <w:rsid w:val="00407698"/>
    <w:rsid w:val="00407B8A"/>
    <w:rsid w:val="004110D8"/>
    <w:rsid w:val="0041609E"/>
    <w:rsid w:val="00417CD5"/>
    <w:rsid w:val="00417FEB"/>
    <w:rsid w:val="00426E5A"/>
    <w:rsid w:val="00430F2A"/>
    <w:rsid w:val="004326E5"/>
    <w:rsid w:val="00433124"/>
    <w:rsid w:val="004352B6"/>
    <w:rsid w:val="00437E2F"/>
    <w:rsid w:val="00441DD3"/>
    <w:rsid w:val="00441E6B"/>
    <w:rsid w:val="00446E03"/>
    <w:rsid w:val="004472E3"/>
    <w:rsid w:val="00451462"/>
    <w:rsid w:val="0045301E"/>
    <w:rsid w:val="004567D0"/>
    <w:rsid w:val="004642E4"/>
    <w:rsid w:val="0046678A"/>
    <w:rsid w:val="00467DC9"/>
    <w:rsid w:val="00471B05"/>
    <w:rsid w:val="00474799"/>
    <w:rsid w:val="00482D55"/>
    <w:rsid w:val="00485619"/>
    <w:rsid w:val="00486C2F"/>
    <w:rsid w:val="00495AFE"/>
    <w:rsid w:val="004A3EB0"/>
    <w:rsid w:val="004B0FC1"/>
    <w:rsid w:val="004B101F"/>
    <w:rsid w:val="004B2A3B"/>
    <w:rsid w:val="004B70C0"/>
    <w:rsid w:val="004C0601"/>
    <w:rsid w:val="004C0BB2"/>
    <w:rsid w:val="004C1D09"/>
    <w:rsid w:val="004C50B1"/>
    <w:rsid w:val="004C549B"/>
    <w:rsid w:val="004C76F9"/>
    <w:rsid w:val="004D0C05"/>
    <w:rsid w:val="004D0DF5"/>
    <w:rsid w:val="004D2E51"/>
    <w:rsid w:val="004D2FF4"/>
    <w:rsid w:val="004D3454"/>
    <w:rsid w:val="004E5591"/>
    <w:rsid w:val="004E6936"/>
    <w:rsid w:val="004E6FE5"/>
    <w:rsid w:val="004F4DD7"/>
    <w:rsid w:val="004F757B"/>
    <w:rsid w:val="005040B5"/>
    <w:rsid w:val="00505EDF"/>
    <w:rsid w:val="005223EF"/>
    <w:rsid w:val="00532059"/>
    <w:rsid w:val="0053527D"/>
    <w:rsid w:val="005371EC"/>
    <w:rsid w:val="00543F20"/>
    <w:rsid w:val="00544B07"/>
    <w:rsid w:val="00545346"/>
    <w:rsid w:val="00551248"/>
    <w:rsid w:val="0055206F"/>
    <w:rsid w:val="00552C2C"/>
    <w:rsid w:val="00553898"/>
    <w:rsid w:val="00557717"/>
    <w:rsid w:val="0056256D"/>
    <w:rsid w:val="0056635F"/>
    <w:rsid w:val="00573A86"/>
    <w:rsid w:val="00574AEB"/>
    <w:rsid w:val="00581BFD"/>
    <w:rsid w:val="005847DC"/>
    <w:rsid w:val="00584B09"/>
    <w:rsid w:val="00592991"/>
    <w:rsid w:val="005A48CA"/>
    <w:rsid w:val="005B5211"/>
    <w:rsid w:val="005B53B0"/>
    <w:rsid w:val="005B62E3"/>
    <w:rsid w:val="005C58DE"/>
    <w:rsid w:val="005C6C97"/>
    <w:rsid w:val="005D1963"/>
    <w:rsid w:val="005D70D3"/>
    <w:rsid w:val="005D7685"/>
    <w:rsid w:val="005D76BC"/>
    <w:rsid w:val="005E39C7"/>
    <w:rsid w:val="005E7B49"/>
    <w:rsid w:val="005F0B00"/>
    <w:rsid w:val="005F2B91"/>
    <w:rsid w:val="005F52F5"/>
    <w:rsid w:val="00610942"/>
    <w:rsid w:val="00611426"/>
    <w:rsid w:val="00617030"/>
    <w:rsid w:val="00621D3B"/>
    <w:rsid w:val="00626CAD"/>
    <w:rsid w:val="00630F92"/>
    <w:rsid w:val="0063175A"/>
    <w:rsid w:val="006344BC"/>
    <w:rsid w:val="00634996"/>
    <w:rsid w:val="00635DC3"/>
    <w:rsid w:val="006362B8"/>
    <w:rsid w:val="0063677D"/>
    <w:rsid w:val="006427AD"/>
    <w:rsid w:val="006431BC"/>
    <w:rsid w:val="00644DE5"/>
    <w:rsid w:val="006460DA"/>
    <w:rsid w:val="00646D11"/>
    <w:rsid w:val="006478A1"/>
    <w:rsid w:val="006478DF"/>
    <w:rsid w:val="006539D2"/>
    <w:rsid w:val="0065534B"/>
    <w:rsid w:val="006624F7"/>
    <w:rsid w:val="00663E88"/>
    <w:rsid w:val="0067069D"/>
    <w:rsid w:val="00671A39"/>
    <w:rsid w:val="00687D16"/>
    <w:rsid w:val="00690790"/>
    <w:rsid w:val="00693C34"/>
    <w:rsid w:val="00695E48"/>
    <w:rsid w:val="006A1128"/>
    <w:rsid w:val="006A6D27"/>
    <w:rsid w:val="006A6EA9"/>
    <w:rsid w:val="006A7978"/>
    <w:rsid w:val="006B4098"/>
    <w:rsid w:val="006B72AA"/>
    <w:rsid w:val="006C2C28"/>
    <w:rsid w:val="006C5509"/>
    <w:rsid w:val="006C6E19"/>
    <w:rsid w:val="006D1B23"/>
    <w:rsid w:val="006D3B8F"/>
    <w:rsid w:val="006D6BD1"/>
    <w:rsid w:val="006E1C97"/>
    <w:rsid w:val="006E2948"/>
    <w:rsid w:val="006E4278"/>
    <w:rsid w:val="006E4283"/>
    <w:rsid w:val="006E597A"/>
    <w:rsid w:val="006E67AD"/>
    <w:rsid w:val="006F3BA9"/>
    <w:rsid w:val="006F590F"/>
    <w:rsid w:val="006F714F"/>
    <w:rsid w:val="00701B9E"/>
    <w:rsid w:val="00701CD1"/>
    <w:rsid w:val="0070370A"/>
    <w:rsid w:val="007043B9"/>
    <w:rsid w:val="00704458"/>
    <w:rsid w:val="007106E9"/>
    <w:rsid w:val="007171B5"/>
    <w:rsid w:val="00722973"/>
    <w:rsid w:val="00722ADB"/>
    <w:rsid w:val="00723D91"/>
    <w:rsid w:val="0073074A"/>
    <w:rsid w:val="00731207"/>
    <w:rsid w:val="00732C56"/>
    <w:rsid w:val="00734F99"/>
    <w:rsid w:val="00740A4C"/>
    <w:rsid w:val="00742CB9"/>
    <w:rsid w:val="0074308F"/>
    <w:rsid w:val="00745198"/>
    <w:rsid w:val="00747997"/>
    <w:rsid w:val="00752818"/>
    <w:rsid w:val="0075502F"/>
    <w:rsid w:val="007574B5"/>
    <w:rsid w:val="00760686"/>
    <w:rsid w:val="007636B5"/>
    <w:rsid w:val="007702E7"/>
    <w:rsid w:val="0077065B"/>
    <w:rsid w:val="007728BF"/>
    <w:rsid w:val="00774996"/>
    <w:rsid w:val="0077504A"/>
    <w:rsid w:val="0078068A"/>
    <w:rsid w:val="00781914"/>
    <w:rsid w:val="00782F00"/>
    <w:rsid w:val="0078305C"/>
    <w:rsid w:val="0078793F"/>
    <w:rsid w:val="00790AA3"/>
    <w:rsid w:val="007972B4"/>
    <w:rsid w:val="007A3D7B"/>
    <w:rsid w:val="007A522C"/>
    <w:rsid w:val="007A69D1"/>
    <w:rsid w:val="007B1864"/>
    <w:rsid w:val="007B1F17"/>
    <w:rsid w:val="007B720D"/>
    <w:rsid w:val="007B7BC8"/>
    <w:rsid w:val="007C12AA"/>
    <w:rsid w:val="007C414D"/>
    <w:rsid w:val="007C598A"/>
    <w:rsid w:val="007C7F4A"/>
    <w:rsid w:val="007D2737"/>
    <w:rsid w:val="007D380A"/>
    <w:rsid w:val="007D5A21"/>
    <w:rsid w:val="007D60B5"/>
    <w:rsid w:val="007D7232"/>
    <w:rsid w:val="007D79FC"/>
    <w:rsid w:val="007E0AF3"/>
    <w:rsid w:val="007E1E9B"/>
    <w:rsid w:val="007E67C6"/>
    <w:rsid w:val="007E7BC2"/>
    <w:rsid w:val="007F7552"/>
    <w:rsid w:val="00800B07"/>
    <w:rsid w:val="008025D1"/>
    <w:rsid w:val="00802D6E"/>
    <w:rsid w:val="00803FF4"/>
    <w:rsid w:val="008115C0"/>
    <w:rsid w:val="00813757"/>
    <w:rsid w:val="008165D3"/>
    <w:rsid w:val="00822CFD"/>
    <w:rsid w:val="0082332B"/>
    <w:rsid w:val="00823652"/>
    <w:rsid w:val="00826A30"/>
    <w:rsid w:val="00833254"/>
    <w:rsid w:val="008338C4"/>
    <w:rsid w:val="008345C0"/>
    <w:rsid w:val="008369DB"/>
    <w:rsid w:val="0084001B"/>
    <w:rsid w:val="008502E4"/>
    <w:rsid w:val="00851E4C"/>
    <w:rsid w:val="00855AEA"/>
    <w:rsid w:val="00861E10"/>
    <w:rsid w:val="00865CA0"/>
    <w:rsid w:val="00871354"/>
    <w:rsid w:val="00872B65"/>
    <w:rsid w:val="00881AA8"/>
    <w:rsid w:val="008825F1"/>
    <w:rsid w:val="00883986"/>
    <w:rsid w:val="00892F53"/>
    <w:rsid w:val="00893E3F"/>
    <w:rsid w:val="00897EA7"/>
    <w:rsid w:val="008A32A0"/>
    <w:rsid w:val="008A4554"/>
    <w:rsid w:val="008A7C68"/>
    <w:rsid w:val="008B1688"/>
    <w:rsid w:val="008B6736"/>
    <w:rsid w:val="008C2CAC"/>
    <w:rsid w:val="008C4144"/>
    <w:rsid w:val="008C44C9"/>
    <w:rsid w:val="008C7671"/>
    <w:rsid w:val="008D1FB2"/>
    <w:rsid w:val="008D2B44"/>
    <w:rsid w:val="008D5A54"/>
    <w:rsid w:val="008D7AE6"/>
    <w:rsid w:val="008E030D"/>
    <w:rsid w:val="008E0AA1"/>
    <w:rsid w:val="008E0B71"/>
    <w:rsid w:val="008E3EFF"/>
    <w:rsid w:val="008E487F"/>
    <w:rsid w:val="008E5B40"/>
    <w:rsid w:val="008E63C9"/>
    <w:rsid w:val="008F3DF5"/>
    <w:rsid w:val="008F4FCD"/>
    <w:rsid w:val="008F772D"/>
    <w:rsid w:val="0090026D"/>
    <w:rsid w:val="0090027D"/>
    <w:rsid w:val="00900F66"/>
    <w:rsid w:val="009012F2"/>
    <w:rsid w:val="0090130B"/>
    <w:rsid w:val="00901D62"/>
    <w:rsid w:val="00901F26"/>
    <w:rsid w:val="009024EA"/>
    <w:rsid w:val="00903E7C"/>
    <w:rsid w:val="0091138C"/>
    <w:rsid w:val="0091440A"/>
    <w:rsid w:val="0091692D"/>
    <w:rsid w:val="00920591"/>
    <w:rsid w:val="00925D50"/>
    <w:rsid w:val="0093111D"/>
    <w:rsid w:val="00933762"/>
    <w:rsid w:val="009417E0"/>
    <w:rsid w:val="00945136"/>
    <w:rsid w:val="00945833"/>
    <w:rsid w:val="00953654"/>
    <w:rsid w:val="00954C25"/>
    <w:rsid w:val="00961846"/>
    <w:rsid w:val="00964DD2"/>
    <w:rsid w:val="00971914"/>
    <w:rsid w:val="0097302C"/>
    <w:rsid w:val="00982766"/>
    <w:rsid w:val="00982E52"/>
    <w:rsid w:val="009934AD"/>
    <w:rsid w:val="0099408A"/>
    <w:rsid w:val="009949F6"/>
    <w:rsid w:val="009A0C89"/>
    <w:rsid w:val="009B0512"/>
    <w:rsid w:val="009B141B"/>
    <w:rsid w:val="009B1C13"/>
    <w:rsid w:val="009B56F9"/>
    <w:rsid w:val="009B6B56"/>
    <w:rsid w:val="009C17BD"/>
    <w:rsid w:val="009C22CC"/>
    <w:rsid w:val="009C4094"/>
    <w:rsid w:val="009C46F3"/>
    <w:rsid w:val="009C56DD"/>
    <w:rsid w:val="009C5E3A"/>
    <w:rsid w:val="009C68DC"/>
    <w:rsid w:val="009D4B78"/>
    <w:rsid w:val="009D7C72"/>
    <w:rsid w:val="009E03E2"/>
    <w:rsid w:val="009F01FA"/>
    <w:rsid w:val="009F25FF"/>
    <w:rsid w:val="009F550F"/>
    <w:rsid w:val="009F7FCF"/>
    <w:rsid w:val="00A0126A"/>
    <w:rsid w:val="00A01BFF"/>
    <w:rsid w:val="00A0645A"/>
    <w:rsid w:val="00A12DE9"/>
    <w:rsid w:val="00A13450"/>
    <w:rsid w:val="00A215A9"/>
    <w:rsid w:val="00A2209F"/>
    <w:rsid w:val="00A25554"/>
    <w:rsid w:val="00A26798"/>
    <w:rsid w:val="00A33487"/>
    <w:rsid w:val="00A347E4"/>
    <w:rsid w:val="00A35E72"/>
    <w:rsid w:val="00A35F81"/>
    <w:rsid w:val="00A37A3E"/>
    <w:rsid w:val="00A410BF"/>
    <w:rsid w:val="00A425A4"/>
    <w:rsid w:val="00A43CB5"/>
    <w:rsid w:val="00A444C4"/>
    <w:rsid w:val="00A44FE7"/>
    <w:rsid w:val="00A4551F"/>
    <w:rsid w:val="00A458C7"/>
    <w:rsid w:val="00A50186"/>
    <w:rsid w:val="00A532AF"/>
    <w:rsid w:val="00A569A8"/>
    <w:rsid w:val="00A61B70"/>
    <w:rsid w:val="00A63807"/>
    <w:rsid w:val="00A653BD"/>
    <w:rsid w:val="00A742D0"/>
    <w:rsid w:val="00A74F08"/>
    <w:rsid w:val="00A75766"/>
    <w:rsid w:val="00A80999"/>
    <w:rsid w:val="00A8408D"/>
    <w:rsid w:val="00A8643D"/>
    <w:rsid w:val="00A87330"/>
    <w:rsid w:val="00A92754"/>
    <w:rsid w:val="00A92CBC"/>
    <w:rsid w:val="00A931CF"/>
    <w:rsid w:val="00A94CE0"/>
    <w:rsid w:val="00A94DB9"/>
    <w:rsid w:val="00A96D98"/>
    <w:rsid w:val="00A97461"/>
    <w:rsid w:val="00AA2471"/>
    <w:rsid w:val="00AA4A7B"/>
    <w:rsid w:val="00AA53A3"/>
    <w:rsid w:val="00AA5B8D"/>
    <w:rsid w:val="00AB28E0"/>
    <w:rsid w:val="00AB2E6A"/>
    <w:rsid w:val="00AB37D1"/>
    <w:rsid w:val="00AB4584"/>
    <w:rsid w:val="00AB5F64"/>
    <w:rsid w:val="00AB71E3"/>
    <w:rsid w:val="00AC04B7"/>
    <w:rsid w:val="00AC62CC"/>
    <w:rsid w:val="00AD0F46"/>
    <w:rsid w:val="00AD6A68"/>
    <w:rsid w:val="00AE1911"/>
    <w:rsid w:val="00AE2FB1"/>
    <w:rsid w:val="00AE78D5"/>
    <w:rsid w:val="00AE7E42"/>
    <w:rsid w:val="00AF0432"/>
    <w:rsid w:val="00AF1AE1"/>
    <w:rsid w:val="00AF2ED9"/>
    <w:rsid w:val="00AF44A9"/>
    <w:rsid w:val="00AF5ECA"/>
    <w:rsid w:val="00B02DF9"/>
    <w:rsid w:val="00B03B0B"/>
    <w:rsid w:val="00B04B43"/>
    <w:rsid w:val="00B079E7"/>
    <w:rsid w:val="00B105A2"/>
    <w:rsid w:val="00B1291C"/>
    <w:rsid w:val="00B16FD4"/>
    <w:rsid w:val="00B170AD"/>
    <w:rsid w:val="00B243F7"/>
    <w:rsid w:val="00B2467E"/>
    <w:rsid w:val="00B24D67"/>
    <w:rsid w:val="00B279AB"/>
    <w:rsid w:val="00B32227"/>
    <w:rsid w:val="00B3229B"/>
    <w:rsid w:val="00B4265F"/>
    <w:rsid w:val="00B4701F"/>
    <w:rsid w:val="00B47A9D"/>
    <w:rsid w:val="00B47BCA"/>
    <w:rsid w:val="00B50093"/>
    <w:rsid w:val="00B51976"/>
    <w:rsid w:val="00B5277A"/>
    <w:rsid w:val="00B54510"/>
    <w:rsid w:val="00B56423"/>
    <w:rsid w:val="00B56A9A"/>
    <w:rsid w:val="00B56D2C"/>
    <w:rsid w:val="00B57C28"/>
    <w:rsid w:val="00B61754"/>
    <w:rsid w:val="00B628A2"/>
    <w:rsid w:val="00B66001"/>
    <w:rsid w:val="00B702C2"/>
    <w:rsid w:val="00B705CC"/>
    <w:rsid w:val="00B8370E"/>
    <w:rsid w:val="00B90091"/>
    <w:rsid w:val="00B926D9"/>
    <w:rsid w:val="00B93222"/>
    <w:rsid w:val="00B947AF"/>
    <w:rsid w:val="00B94AAF"/>
    <w:rsid w:val="00B94B10"/>
    <w:rsid w:val="00B97667"/>
    <w:rsid w:val="00BA0A6F"/>
    <w:rsid w:val="00BA1CC3"/>
    <w:rsid w:val="00BA2178"/>
    <w:rsid w:val="00BA2333"/>
    <w:rsid w:val="00BA45EB"/>
    <w:rsid w:val="00BA48D9"/>
    <w:rsid w:val="00BA56D0"/>
    <w:rsid w:val="00BA62F3"/>
    <w:rsid w:val="00BB1047"/>
    <w:rsid w:val="00BB52A1"/>
    <w:rsid w:val="00BC11D9"/>
    <w:rsid w:val="00BC5AA9"/>
    <w:rsid w:val="00BC5F9A"/>
    <w:rsid w:val="00BC7EE5"/>
    <w:rsid w:val="00BD0446"/>
    <w:rsid w:val="00BD26C5"/>
    <w:rsid w:val="00BE0915"/>
    <w:rsid w:val="00BE21BB"/>
    <w:rsid w:val="00BE7A84"/>
    <w:rsid w:val="00BE7D83"/>
    <w:rsid w:val="00BF4F51"/>
    <w:rsid w:val="00BF5D5C"/>
    <w:rsid w:val="00C00F9D"/>
    <w:rsid w:val="00C036A8"/>
    <w:rsid w:val="00C057BF"/>
    <w:rsid w:val="00C05A57"/>
    <w:rsid w:val="00C06C49"/>
    <w:rsid w:val="00C07662"/>
    <w:rsid w:val="00C10903"/>
    <w:rsid w:val="00C14A8C"/>
    <w:rsid w:val="00C14BC4"/>
    <w:rsid w:val="00C173A4"/>
    <w:rsid w:val="00C20994"/>
    <w:rsid w:val="00C25826"/>
    <w:rsid w:val="00C25D2D"/>
    <w:rsid w:val="00C26051"/>
    <w:rsid w:val="00C2733D"/>
    <w:rsid w:val="00C355E1"/>
    <w:rsid w:val="00C35A12"/>
    <w:rsid w:val="00C36D32"/>
    <w:rsid w:val="00C46AF4"/>
    <w:rsid w:val="00C47688"/>
    <w:rsid w:val="00C50B65"/>
    <w:rsid w:val="00C51EB8"/>
    <w:rsid w:val="00C52C5A"/>
    <w:rsid w:val="00C539D5"/>
    <w:rsid w:val="00C54928"/>
    <w:rsid w:val="00C56CD6"/>
    <w:rsid w:val="00C56EE1"/>
    <w:rsid w:val="00C6085F"/>
    <w:rsid w:val="00C63600"/>
    <w:rsid w:val="00C654DF"/>
    <w:rsid w:val="00C706B9"/>
    <w:rsid w:val="00C717B8"/>
    <w:rsid w:val="00C72065"/>
    <w:rsid w:val="00C74957"/>
    <w:rsid w:val="00C81913"/>
    <w:rsid w:val="00C829FE"/>
    <w:rsid w:val="00C83534"/>
    <w:rsid w:val="00C84897"/>
    <w:rsid w:val="00C854FF"/>
    <w:rsid w:val="00C92D92"/>
    <w:rsid w:val="00C93CA5"/>
    <w:rsid w:val="00C93FF9"/>
    <w:rsid w:val="00C95FC3"/>
    <w:rsid w:val="00C96376"/>
    <w:rsid w:val="00CA28D6"/>
    <w:rsid w:val="00CA4F49"/>
    <w:rsid w:val="00CA7439"/>
    <w:rsid w:val="00CA7DB0"/>
    <w:rsid w:val="00CB3EE5"/>
    <w:rsid w:val="00CB4D41"/>
    <w:rsid w:val="00CB620C"/>
    <w:rsid w:val="00CB74DD"/>
    <w:rsid w:val="00CB766F"/>
    <w:rsid w:val="00CC0E88"/>
    <w:rsid w:val="00CC6BC8"/>
    <w:rsid w:val="00CD4FF7"/>
    <w:rsid w:val="00CD550A"/>
    <w:rsid w:val="00CD6112"/>
    <w:rsid w:val="00CE188C"/>
    <w:rsid w:val="00CE1F2B"/>
    <w:rsid w:val="00CE235B"/>
    <w:rsid w:val="00CE7DF0"/>
    <w:rsid w:val="00CF0FEA"/>
    <w:rsid w:val="00CF26F6"/>
    <w:rsid w:val="00D024A5"/>
    <w:rsid w:val="00D03E3F"/>
    <w:rsid w:val="00D16A38"/>
    <w:rsid w:val="00D2007E"/>
    <w:rsid w:val="00D20849"/>
    <w:rsid w:val="00D22199"/>
    <w:rsid w:val="00D23EA5"/>
    <w:rsid w:val="00D24429"/>
    <w:rsid w:val="00D2520A"/>
    <w:rsid w:val="00D32E81"/>
    <w:rsid w:val="00D350A6"/>
    <w:rsid w:val="00D3585B"/>
    <w:rsid w:val="00D411EC"/>
    <w:rsid w:val="00D4719B"/>
    <w:rsid w:val="00D479B6"/>
    <w:rsid w:val="00D5148D"/>
    <w:rsid w:val="00D53356"/>
    <w:rsid w:val="00D57E53"/>
    <w:rsid w:val="00D64F29"/>
    <w:rsid w:val="00D65A2D"/>
    <w:rsid w:val="00D747A3"/>
    <w:rsid w:val="00D81F07"/>
    <w:rsid w:val="00D82FE1"/>
    <w:rsid w:val="00D87918"/>
    <w:rsid w:val="00D901C6"/>
    <w:rsid w:val="00D908E0"/>
    <w:rsid w:val="00D94BA7"/>
    <w:rsid w:val="00D9508C"/>
    <w:rsid w:val="00D96550"/>
    <w:rsid w:val="00D96B24"/>
    <w:rsid w:val="00DA1B17"/>
    <w:rsid w:val="00DA3BE9"/>
    <w:rsid w:val="00DA4813"/>
    <w:rsid w:val="00DA5B04"/>
    <w:rsid w:val="00DB3579"/>
    <w:rsid w:val="00DC1087"/>
    <w:rsid w:val="00DC133D"/>
    <w:rsid w:val="00DC1492"/>
    <w:rsid w:val="00DC2452"/>
    <w:rsid w:val="00DC460D"/>
    <w:rsid w:val="00DC4EB3"/>
    <w:rsid w:val="00DC6763"/>
    <w:rsid w:val="00DD0D72"/>
    <w:rsid w:val="00DD244B"/>
    <w:rsid w:val="00DD6A5B"/>
    <w:rsid w:val="00DE048E"/>
    <w:rsid w:val="00DE2054"/>
    <w:rsid w:val="00DE2280"/>
    <w:rsid w:val="00DE43E7"/>
    <w:rsid w:val="00DE4B78"/>
    <w:rsid w:val="00DF1934"/>
    <w:rsid w:val="00DF43F6"/>
    <w:rsid w:val="00E0577E"/>
    <w:rsid w:val="00E10CE6"/>
    <w:rsid w:val="00E11699"/>
    <w:rsid w:val="00E2160E"/>
    <w:rsid w:val="00E23756"/>
    <w:rsid w:val="00E346BA"/>
    <w:rsid w:val="00E36C59"/>
    <w:rsid w:val="00E50A9A"/>
    <w:rsid w:val="00E51691"/>
    <w:rsid w:val="00E51A89"/>
    <w:rsid w:val="00E51F5B"/>
    <w:rsid w:val="00E5696C"/>
    <w:rsid w:val="00E60A91"/>
    <w:rsid w:val="00E60ACA"/>
    <w:rsid w:val="00E615F5"/>
    <w:rsid w:val="00E6291F"/>
    <w:rsid w:val="00E62DC6"/>
    <w:rsid w:val="00E62EDC"/>
    <w:rsid w:val="00E63B75"/>
    <w:rsid w:val="00E6488A"/>
    <w:rsid w:val="00E673EE"/>
    <w:rsid w:val="00E70BCB"/>
    <w:rsid w:val="00E713F7"/>
    <w:rsid w:val="00E74E57"/>
    <w:rsid w:val="00E82AB6"/>
    <w:rsid w:val="00E835B3"/>
    <w:rsid w:val="00E87704"/>
    <w:rsid w:val="00E901CE"/>
    <w:rsid w:val="00E92A0C"/>
    <w:rsid w:val="00E95F9A"/>
    <w:rsid w:val="00E96D75"/>
    <w:rsid w:val="00EA1FC8"/>
    <w:rsid w:val="00EA2F81"/>
    <w:rsid w:val="00EA3908"/>
    <w:rsid w:val="00EA3B53"/>
    <w:rsid w:val="00EB32FF"/>
    <w:rsid w:val="00EC0F70"/>
    <w:rsid w:val="00EC29CF"/>
    <w:rsid w:val="00EC33A4"/>
    <w:rsid w:val="00EC36C7"/>
    <w:rsid w:val="00EC46EB"/>
    <w:rsid w:val="00EC4746"/>
    <w:rsid w:val="00EC76AB"/>
    <w:rsid w:val="00ED065D"/>
    <w:rsid w:val="00ED16F5"/>
    <w:rsid w:val="00ED25FE"/>
    <w:rsid w:val="00ED7725"/>
    <w:rsid w:val="00EE3BEE"/>
    <w:rsid w:val="00EE45F9"/>
    <w:rsid w:val="00EE7BA4"/>
    <w:rsid w:val="00EF399B"/>
    <w:rsid w:val="00EF6FA9"/>
    <w:rsid w:val="00F0075C"/>
    <w:rsid w:val="00F00E9A"/>
    <w:rsid w:val="00F00ED0"/>
    <w:rsid w:val="00F0303D"/>
    <w:rsid w:val="00F10956"/>
    <w:rsid w:val="00F157C8"/>
    <w:rsid w:val="00F20226"/>
    <w:rsid w:val="00F23182"/>
    <w:rsid w:val="00F23260"/>
    <w:rsid w:val="00F25AEC"/>
    <w:rsid w:val="00F279F3"/>
    <w:rsid w:val="00F30097"/>
    <w:rsid w:val="00F304E2"/>
    <w:rsid w:val="00F30923"/>
    <w:rsid w:val="00F3194F"/>
    <w:rsid w:val="00F3310B"/>
    <w:rsid w:val="00F45199"/>
    <w:rsid w:val="00F46443"/>
    <w:rsid w:val="00F50127"/>
    <w:rsid w:val="00F52B05"/>
    <w:rsid w:val="00F57104"/>
    <w:rsid w:val="00F62326"/>
    <w:rsid w:val="00F62787"/>
    <w:rsid w:val="00F65254"/>
    <w:rsid w:val="00F66A84"/>
    <w:rsid w:val="00F70129"/>
    <w:rsid w:val="00F75158"/>
    <w:rsid w:val="00F75833"/>
    <w:rsid w:val="00F76A50"/>
    <w:rsid w:val="00F8440F"/>
    <w:rsid w:val="00F85758"/>
    <w:rsid w:val="00F86912"/>
    <w:rsid w:val="00F9155F"/>
    <w:rsid w:val="00F918EF"/>
    <w:rsid w:val="00F953D8"/>
    <w:rsid w:val="00F975EB"/>
    <w:rsid w:val="00FA0C5D"/>
    <w:rsid w:val="00FA709A"/>
    <w:rsid w:val="00FA715F"/>
    <w:rsid w:val="00FA7323"/>
    <w:rsid w:val="00FB15D1"/>
    <w:rsid w:val="00FB58EE"/>
    <w:rsid w:val="00FB5B6D"/>
    <w:rsid w:val="00FB5C07"/>
    <w:rsid w:val="00FC1A18"/>
    <w:rsid w:val="00FC1A1E"/>
    <w:rsid w:val="00FC4E34"/>
    <w:rsid w:val="00FC5874"/>
    <w:rsid w:val="00FC7940"/>
    <w:rsid w:val="00FD30E9"/>
    <w:rsid w:val="00FD6B6C"/>
    <w:rsid w:val="00FE05CE"/>
    <w:rsid w:val="00FE0D66"/>
    <w:rsid w:val="00FE4448"/>
    <w:rsid w:val="00FE7C9A"/>
    <w:rsid w:val="00FF115B"/>
    <w:rsid w:val="00FF541E"/>
    <w:rsid w:val="00FF6BFA"/>
    <w:rsid w:val="00FF7E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6A07E"/>
  <w15:docId w15:val="{FCC4BC6C-B960-4D51-A8C1-1F0DEE7C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C2"/>
  </w:style>
  <w:style w:type="paragraph" w:styleId="Ttulo1">
    <w:name w:val="heading 1"/>
    <w:basedOn w:val="Normal"/>
    <w:next w:val="Normal"/>
    <w:link w:val="Ttulo1Car"/>
    <w:qFormat/>
    <w:rsid w:val="006A6EA9"/>
    <w:pPr>
      <w:keepNext/>
      <w:spacing w:after="0" w:line="240" w:lineRule="auto"/>
      <w:outlineLvl w:val="0"/>
    </w:pPr>
    <w:rPr>
      <w:rFonts w:ascii="Arial" w:eastAsia="Times New Roman" w:hAnsi="Arial" w:cs="Arial"/>
      <w:b/>
      <w:bCs/>
      <w:lang w:val="es-ES" w:eastAsia="es-ES"/>
    </w:rPr>
  </w:style>
  <w:style w:type="paragraph" w:styleId="Ttulo2">
    <w:name w:val="heading 2"/>
    <w:basedOn w:val="Normal"/>
    <w:next w:val="Normal"/>
    <w:link w:val="Ttulo2Car"/>
    <w:qFormat/>
    <w:rsid w:val="006A6EA9"/>
    <w:pPr>
      <w:keepNext/>
      <w:spacing w:after="0" w:line="240" w:lineRule="auto"/>
      <w:outlineLvl w:val="1"/>
    </w:pPr>
    <w:rPr>
      <w:rFonts w:ascii="Arial" w:eastAsia="Times New Roman" w:hAnsi="Arial" w:cs="Arial"/>
      <w:b/>
      <w:bCs/>
      <w:sz w:val="14"/>
      <w:szCs w:val="20"/>
      <w:lang w:val="es-ES" w:eastAsia="es-ES"/>
    </w:rPr>
  </w:style>
  <w:style w:type="paragraph" w:styleId="Ttulo3">
    <w:name w:val="heading 3"/>
    <w:basedOn w:val="Normal"/>
    <w:next w:val="Normal"/>
    <w:link w:val="Ttulo3Car"/>
    <w:qFormat/>
    <w:rsid w:val="006A6EA9"/>
    <w:pPr>
      <w:keepNext/>
      <w:spacing w:after="0" w:line="240" w:lineRule="auto"/>
      <w:outlineLvl w:val="2"/>
    </w:pPr>
    <w:rPr>
      <w:rFonts w:ascii="Verdana" w:eastAsia="Times New Roman" w:hAnsi="Verdana" w:cs="Times New Roman"/>
      <w:b/>
      <w:bCs/>
      <w:sz w:val="16"/>
      <w:szCs w:val="24"/>
      <w:lang w:val="es-ES" w:eastAsia="es-ES"/>
    </w:rPr>
  </w:style>
  <w:style w:type="paragraph" w:styleId="Ttulo4">
    <w:name w:val="heading 4"/>
    <w:basedOn w:val="Normal"/>
    <w:next w:val="Normal"/>
    <w:link w:val="Ttulo4Car"/>
    <w:qFormat/>
    <w:rsid w:val="006A6EA9"/>
    <w:pPr>
      <w:keepNext/>
      <w:spacing w:after="0" w:line="240" w:lineRule="auto"/>
      <w:jc w:val="center"/>
      <w:outlineLvl w:val="3"/>
    </w:pPr>
    <w:rPr>
      <w:rFonts w:ascii="Verdana" w:eastAsia="Times New Roman" w:hAnsi="Verdana" w:cs="Times New Roman"/>
      <w:b/>
      <w:bCs/>
      <w:sz w:val="14"/>
      <w:szCs w:val="24"/>
      <w:lang w:val="es-ES" w:eastAsia="es-ES"/>
    </w:rPr>
  </w:style>
  <w:style w:type="paragraph" w:styleId="Ttulo5">
    <w:name w:val="heading 5"/>
    <w:basedOn w:val="Normal"/>
    <w:next w:val="Normal"/>
    <w:link w:val="Ttulo5Car"/>
    <w:qFormat/>
    <w:rsid w:val="006A6EA9"/>
    <w:pPr>
      <w:keepNext/>
      <w:spacing w:after="0" w:line="240" w:lineRule="auto"/>
      <w:jc w:val="center"/>
      <w:outlineLvl w:val="4"/>
    </w:pPr>
    <w:rPr>
      <w:rFonts w:ascii="Verdana" w:eastAsia="Times New Roman" w:hAnsi="Verdana"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6EA9"/>
    <w:rPr>
      <w:rFonts w:ascii="Arial" w:eastAsia="Times New Roman" w:hAnsi="Arial" w:cs="Arial"/>
      <w:b/>
      <w:bCs/>
      <w:lang w:val="es-ES" w:eastAsia="es-ES"/>
    </w:rPr>
  </w:style>
  <w:style w:type="character" w:customStyle="1" w:styleId="Ttulo2Car">
    <w:name w:val="Título 2 Car"/>
    <w:basedOn w:val="Fuentedeprrafopredeter"/>
    <w:link w:val="Ttulo2"/>
    <w:rsid w:val="006A6EA9"/>
    <w:rPr>
      <w:rFonts w:ascii="Arial" w:eastAsia="Times New Roman" w:hAnsi="Arial" w:cs="Arial"/>
      <w:b/>
      <w:bCs/>
      <w:sz w:val="14"/>
      <w:szCs w:val="20"/>
      <w:lang w:val="es-ES" w:eastAsia="es-ES"/>
    </w:rPr>
  </w:style>
  <w:style w:type="character" w:customStyle="1" w:styleId="Ttulo3Car">
    <w:name w:val="Título 3 Car"/>
    <w:basedOn w:val="Fuentedeprrafopredeter"/>
    <w:link w:val="Ttulo3"/>
    <w:rsid w:val="006A6EA9"/>
    <w:rPr>
      <w:rFonts w:ascii="Verdana" w:eastAsia="Times New Roman" w:hAnsi="Verdana" w:cs="Times New Roman"/>
      <w:b/>
      <w:bCs/>
      <w:sz w:val="16"/>
      <w:szCs w:val="24"/>
      <w:lang w:val="es-ES" w:eastAsia="es-ES"/>
    </w:rPr>
  </w:style>
  <w:style w:type="character" w:customStyle="1" w:styleId="Ttulo4Car">
    <w:name w:val="Título 4 Car"/>
    <w:basedOn w:val="Fuentedeprrafopredeter"/>
    <w:link w:val="Ttulo4"/>
    <w:rsid w:val="006A6EA9"/>
    <w:rPr>
      <w:rFonts w:ascii="Verdana" w:eastAsia="Times New Roman" w:hAnsi="Verdana" w:cs="Times New Roman"/>
      <w:b/>
      <w:bCs/>
      <w:sz w:val="14"/>
      <w:szCs w:val="24"/>
      <w:lang w:val="es-ES" w:eastAsia="es-ES"/>
    </w:rPr>
  </w:style>
  <w:style w:type="character" w:customStyle="1" w:styleId="Ttulo5Car">
    <w:name w:val="Título 5 Car"/>
    <w:basedOn w:val="Fuentedeprrafopredeter"/>
    <w:link w:val="Ttulo5"/>
    <w:rsid w:val="006A6EA9"/>
    <w:rPr>
      <w:rFonts w:ascii="Verdana" w:eastAsia="Times New Roman" w:hAnsi="Verdana" w:cs="Times New Roman"/>
      <w:b/>
      <w:bCs/>
      <w:sz w:val="20"/>
      <w:szCs w:val="24"/>
      <w:lang w:val="es-ES" w:eastAsia="es-ES"/>
    </w:rPr>
  </w:style>
  <w:style w:type="numbering" w:customStyle="1" w:styleId="Sinlista1">
    <w:name w:val="Sin lista1"/>
    <w:next w:val="Sinlista"/>
    <w:uiPriority w:val="99"/>
    <w:semiHidden/>
    <w:unhideWhenUsed/>
    <w:rsid w:val="006A6EA9"/>
  </w:style>
  <w:style w:type="paragraph" w:styleId="Puesto">
    <w:name w:val="Title"/>
    <w:basedOn w:val="Normal"/>
    <w:link w:val="PuestoCar"/>
    <w:qFormat/>
    <w:rsid w:val="006A6EA9"/>
    <w:pPr>
      <w:spacing w:after="0" w:line="240" w:lineRule="auto"/>
      <w:jc w:val="center"/>
    </w:pPr>
    <w:rPr>
      <w:rFonts w:ascii="Arial Narrow" w:eastAsia="Times New Roman" w:hAnsi="Arial Narrow" w:cs="Times New Roman"/>
      <w:b/>
      <w:bCs/>
      <w:sz w:val="28"/>
      <w:szCs w:val="24"/>
      <w:lang w:val="es-ES" w:eastAsia="es-ES"/>
    </w:rPr>
  </w:style>
  <w:style w:type="character" w:customStyle="1" w:styleId="PuestoCar">
    <w:name w:val="Puesto Car"/>
    <w:basedOn w:val="Fuentedeprrafopredeter"/>
    <w:link w:val="Puesto"/>
    <w:rsid w:val="006A6EA9"/>
    <w:rPr>
      <w:rFonts w:ascii="Arial Narrow" w:eastAsia="Times New Roman" w:hAnsi="Arial Narrow" w:cs="Times New Roman"/>
      <w:b/>
      <w:bCs/>
      <w:sz w:val="28"/>
      <w:szCs w:val="24"/>
      <w:lang w:val="es-ES" w:eastAsia="es-ES"/>
    </w:rPr>
  </w:style>
  <w:style w:type="paragraph" w:styleId="Subttulo">
    <w:name w:val="Subtitle"/>
    <w:basedOn w:val="Normal"/>
    <w:link w:val="SubttuloCar"/>
    <w:qFormat/>
    <w:rsid w:val="006A6EA9"/>
    <w:pPr>
      <w:spacing w:after="0" w:line="240" w:lineRule="auto"/>
      <w:jc w:val="center"/>
    </w:pPr>
    <w:rPr>
      <w:rFonts w:ascii="Arial" w:eastAsia="Times New Roman" w:hAnsi="Arial" w:cs="Arial"/>
      <w:b/>
      <w:bCs/>
      <w:lang w:eastAsia="es-ES"/>
    </w:rPr>
  </w:style>
  <w:style w:type="character" w:customStyle="1" w:styleId="SubttuloCar">
    <w:name w:val="Subtítulo Car"/>
    <w:basedOn w:val="Fuentedeprrafopredeter"/>
    <w:link w:val="Subttulo"/>
    <w:rsid w:val="006A6EA9"/>
    <w:rPr>
      <w:rFonts w:ascii="Arial" w:eastAsia="Times New Roman" w:hAnsi="Arial" w:cs="Arial"/>
      <w:b/>
      <w:bCs/>
      <w:lang w:eastAsia="es-ES"/>
    </w:rPr>
  </w:style>
  <w:style w:type="paragraph" w:styleId="Textoindependiente">
    <w:name w:val="Body Text"/>
    <w:basedOn w:val="Normal"/>
    <w:link w:val="TextoindependienteCar"/>
    <w:semiHidden/>
    <w:rsid w:val="006A6EA9"/>
    <w:pPr>
      <w:spacing w:after="0" w:line="240" w:lineRule="auto"/>
      <w:jc w:val="both"/>
    </w:pPr>
    <w:rPr>
      <w:rFonts w:ascii="Arial" w:eastAsia="Times New Roman" w:hAnsi="Arial" w:cs="Arial"/>
      <w:szCs w:val="20"/>
      <w:lang w:val="es-ES" w:eastAsia="es-ES"/>
    </w:rPr>
  </w:style>
  <w:style w:type="character" w:customStyle="1" w:styleId="TextoindependienteCar">
    <w:name w:val="Texto independiente Car"/>
    <w:basedOn w:val="Fuentedeprrafopredeter"/>
    <w:link w:val="Textoindependiente"/>
    <w:semiHidden/>
    <w:rsid w:val="006A6EA9"/>
    <w:rPr>
      <w:rFonts w:ascii="Arial" w:eastAsia="Times New Roman" w:hAnsi="Arial" w:cs="Arial"/>
      <w:szCs w:val="20"/>
      <w:lang w:val="es-ES" w:eastAsia="es-ES"/>
    </w:rPr>
  </w:style>
  <w:style w:type="paragraph" w:styleId="Textonotapie">
    <w:name w:val="footnote text"/>
    <w:basedOn w:val="Normal"/>
    <w:link w:val="TextonotapieCar"/>
    <w:semiHidden/>
    <w:rsid w:val="006A6EA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6A6EA9"/>
    <w:rPr>
      <w:rFonts w:ascii="Times New Roman" w:eastAsia="Times New Roman" w:hAnsi="Times New Roman" w:cs="Times New Roman"/>
      <w:sz w:val="20"/>
      <w:szCs w:val="20"/>
      <w:lang w:eastAsia="es-ES"/>
    </w:rPr>
  </w:style>
  <w:style w:type="character" w:styleId="Refdenotaalpie">
    <w:name w:val="footnote reference"/>
    <w:semiHidden/>
    <w:rsid w:val="006A6EA9"/>
    <w:rPr>
      <w:vertAlign w:val="superscript"/>
    </w:rPr>
  </w:style>
  <w:style w:type="paragraph" w:styleId="Textoindependiente2">
    <w:name w:val="Body Text 2"/>
    <w:basedOn w:val="Normal"/>
    <w:link w:val="Textoindependiente2Car"/>
    <w:semiHidden/>
    <w:rsid w:val="006A6EA9"/>
    <w:pPr>
      <w:spacing w:after="0" w:line="240" w:lineRule="auto"/>
      <w:jc w:val="center"/>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semiHidden/>
    <w:rsid w:val="006A6EA9"/>
    <w:rPr>
      <w:rFonts w:ascii="Arial" w:eastAsia="Times New Roman" w:hAnsi="Arial" w:cs="Arial"/>
      <w:b/>
      <w:bCs/>
      <w:sz w:val="24"/>
      <w:szCs w:val="24"/>
      <w:lang w:val="es-ES" w:eastAsia="es-ES"/>
    </w:rPr>
  </w:style>
  <w:style w:type="character" w:styleId="Hipervnculo">
    <w:name w:val="Hyperlink"/>
    <w:uiPriority w:val="99"/>
    <w:rsid w:val="006A6EA9"/>
    <w:rPr>
      <w:color w:val="0000FF"/>
      <w:u w:val="single"/>
    </w:rPr>
  </w:style>
  <w:style w:type="character" w:styleId="Nmerodepgina">
    <w:name w:val="page number"/>
    <w:basedOn w:val="Fuentedeprrafopredeter"/>
    <w:semiHidden/>
    <w:rsid w:val="006A6EA9"/>
  </w:style>
  <w:style w:type="paragraph" w:styleId="Encabezado">
    <w:name w:val="header"/>
    <w:basedOn w:val="Normal"/>
    <w:link w:val="EncabezadoCar"/>
    <w:uiPriority w:val="99"/>
    <w:rsid w:val="006A6EA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A6EA9"/>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6A6EA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6A6EA9"/>
    <w:rPr>
      <w:rFonts w:ascii="Times New Roman" w:eastAsia="Times New Roman" w:hAnsi="Times New Roman" w:cs="Times New Roman"/>
      <w:sz w:val="24"/>
      <w:szCs w:val="24"/>
      <w:lang w:val="es-ES" w:eastAsia="es-ES"/>
    </w:rPr>
  </w:style>
  <w:style w:type="character" w:customStyle="1" w:styleId="estilo38">
    <w:name w:val="estilo38"/>
    <w:basedOn w:val="Fuentedeprrafopredeter"/>
    <w:rsid w:val="006A6EA9"/>
  </w:style>
  <w:style w:type="paragraph" w:styleId="Textoindependiente3">
    <w:name w:val="Body Text 3"/>
    <w:basedOn w:val="Normal"/>
    <w:link w:val="Textoindependiente3Car"/>
    <w:semiHidden/>
    <w:rsid w:val="006A6EA9"/>
    <w:pPr>
      <w:spacing w:after="0" w:line="240" w:lineRule="auto"/>
    </w:pPr>
    <w:rPr>
      <w:rFonts w:ascii="Arial" w:eastAsia="Times New Roman" w:hAnsi="Arial" w:cs="Arial"/>
      <w:b/>
      <w:bCs/>
      <w:sz w:val="18"/>
      <w:szCs w:val="24"/>
      <w:lang w:val="es-ES_tradnl" w:eastAsia="es-ES"/>
    </w:rPr>
  </w:style>
  <w:style w:type="character" w:customStyle="1" w:styleId="Textoindependiente3Car">
    <w:name w:val="Texto independiente 3 Car"/>
    <w:basedOn w:val="Fuentedeprrafopredeter"/>
    <w:link w:val="Textoindependiente3"/>
    <w:semiHidden/>
    <w:rsid w:val="006A6EA9"/>
    <w:rPr>
      <w:rFonts w:ascii="Arial" w:eastAsia="Times New Roman" w:hAnsi="Arial" w:cs="Arial"/>
      <w:b/>
      <w:bCs/>
      <w:sz w:val="18"/>
      <w:szCs w:val="24"/>
      <w:lang w:val="es-ES_tradnl" w:eastAsia="es-ES"/>
    </w:rPr>
  </w:style>
  <w:style w:type="character" w:customStyle="1" w:styleId="st">
    <w:name w:val="st"/>
    <w:basedOn w:val="Fuentedeprrafopredeter"/>
    <w:rsid w:val="006A6EA9"/>
  </w:style>
  <w:style w:type="character" w:styleId="Hipervnculovisitado">
    <w:name w:val="FollowedHyperlink"/>
    <w:uiPriority w:val="99"/>
    <w:semiHidden/>
    <w:rsid w:val="006A6EA9"/>
    <w:rPr>
      <w:color w:val="800080"/>
      <w:u w:val="single"/>
    </w:rPr>
  </w:style>
  <w:style w:type="paragraph" w:styleId="TDC1">
    <w:name w:val="toc 1"/>
    <w:basedOn w:val="Normal"/>
    <w:next w:val="Normal"/>
    <w:autoRedefine/>
    <w:uiPriority w:val="39"/>
    <w:rsid w:val="006A6EA9"/>
    <w:pPr>
      <w:widowControl w:val="0"/>
      <w:tabs>
        <w:tab w:val="right" w:leader="underscore" w:pos="9396"/>
      </w:tabs>
      <w:spacing w:before="120" w:after="0" w:line="240" w:lineRule="auto"/>
      <w:jc w:val="both"/>
    </w:pPr>
    <w:rPr>
      <w:rFonts w:ascii="Verdana" w:eastAsia="Times New Roman" w:hAnsi="Verdana" w:cs="Times New Roman"/>
      <w:b/>
      <w:bCs/>
      <w:i/>
      <w:iCs/>
      <w:noProof/>
      <w:szCs w:val="28"/>
      <w:lang w:val="es-ES" w:eastAsia="es-ES"/>
    </w:rPr>
  </w:style>
  <w:style w:type="paragraph" w:styleId="TDC2">
    <w:name w:val="toc 2"/>
    <w:basedOn w:val="Normal"/>
    <w:next w:val="Normal"/>
    <w:autoRedefine/>
    <w:uiPriority w:val="39"/>
    <w:rsid w:val="006A6EA9"/>
    <w:pPr>
      <w:spacing w:before="120" w:after="0" w:line="240" w:lineRule="auto"/>
      <w:ind w:left="240"/>
    </w:pPr>
    <w:rPr>
      <w:rFonts w:ascii="Times New Roman" w:eastAsia="Times New Roman" w:hAnsi="Times New Roman" w:cs="Times New Roman"/>
      <w:b/>
      <w:bCs/>
      <w:sz w:val="24"/>
      <w:szCs w:val="26"/>
      <w:lang w:val="es-ES" w:eastAsia="es-ES"/>
    </w:rPr>
  </w:style>
  <w:style w:type="paragraph" w:styleId="TDC3">
    <w:name w:val="toc 3"/>
    <w:basedOn w:val="Normal"/>
    <w:next w:val="Normal"/>
    <w:autoRedefine/>
    <w:uiPriority w:val="39"/>
    <w:rsid w:val="006A6EA9"/>
    <w:pPr>
      <w:spacing w:after="0" w:line="240" w:lineRule="auto"/>
      <w:ind w:left="480"/>
    </w:pPr>
    <w:rPr>
      <w:rFonts w:ascii="Times New Roman" w:eastAsia="Times New Roman" w:hAnsi="Times New Roman" w:cs="Times New Roman"/>
      <w:sz w:val="24"/>
      <w:szCs w:val="24"/>
      <w:lang w:val="es-ES" w:eastAsia="es-ES"/>
    </w:rPr>
  </w:style>
  <w:style w:type="paragraph" w:styleId="TDC4">
    <w:name w:val="toc 4"/>
    <w:basedOn w:val="Normal"/>
    <w:next w:val="Normal"/>
    <w:autoRedefine/>
    <w:semiHidden/>
    <w:rsid w:val="006A6EA9"/>
    <w:pPr>
      <w:spacing w:after="0" w:line="240" w:lineRule="auto"/>
      <w:ind w:left="720"/>
    </w:pPr>
    <w:rPr>
      <w:rFonts w:ascii="Times New Roman" w:eastAsia="Times New Roman" w:hAnsi="Times New Roman" w:cs="Times New Roman"/>
      <w:sz w:val="24"/>
      <w:szCs w:val="24"/>
      <w:lang w:val="es-ES" w:eastAsia="es-ES"/>
    </w:rPr>
  </w:style>
  <w:style w:type="paragraph" w:styleId="TDC5">
    <w:name w:val="toc 5"/>
    <w:basedOn w:val="Normal"/>
    <w:next w:val="Normal"/>
    <w:autoRedefine/>
    <w:semiHidden/>
    <w:rsid w:val="006A6EA9"/>
    <w:pPr>
      <w:spacing w:after="0" w:line="240" w:lineRule="auto"/>
      <w:ind w:left="960"/>
    </w:pPr>
    <w:rPr>
      <w:rFonts w:ascii="Times New Roman" w:eastAsia="Times New Roman" w:hAnsi="Times New Roman" w:cs="Times New Roman"/>
      <w:sz w:val="24"/>
      <w:szCs w:val="24"/>
      <w:lang w:val="es-ES" w:eastAsia="es-ES"/>
    </w:rPr>
  </w:style>
  <w:style w:type="paragraph" w:styleId="TDC6">
    <w:name w:val="toc 6"/>
    <w:basedOn w:val="Normal"/>
    <w:next w:val="Normal"/>
    <w:autoRedefine/>
    <w:semiHidden/>
    <w:rsid w:val="006A6EA9"/>
    <w:pPr>
      <w:spacing w:after="0" w:line="240" w:lineRule="auto"/>
      <w:ind w:left="1200"/>
    </w:pPr>
    <w:rPr>
      <w:rFonts w:ascii="Times New Roman" w:eastAsia="Times New Roman" w:hAnsi="Times New Roman" w:cs="Times New Roman"/>
      <w:sz w:val="24"/>
      <w:szCs w:val="24"/>
      <w:lang w:val="es-ES" w:eastAsia="es-ES"/>
    </w:rPr>
  </w:style>
  <w:style w:type="paragraph" w:styleId="TDC7">
    <w:name w:val="toc 7"/>
    <w:basedOn w:val="Normal"/>
    <w:next w:val="Normal"/>
    <w:autoRedefine/>
    <w:semiHidden/>
    <w:rsid w:val="006A6EA9"/>
    <w:pPr>
      <w:spacing w:after="0" w:line="240" w:lineRule="auto"/>
      <w:ind w:left="1440"/>
    </w:pPr>
    <w:rPr>
      <w:rFonts w:ascii="Times New Roman" w:eastAsia="Times New Roman" w:hAnsi="Times New Roman" w:cs="Times New Roman"/>
      <w:sz w:val="24"/>
      <w:szCs w:val="24"/>
      <w:lang w:val="es-ES" w:eastAsia="es-ES"/>
    </w:rPr>
  </w:style>
  <w:style w:type="paragraph" w:styleId="TDC8">
    <w:name w:val="toc 8"/>
    <w:basedOn w:val="Normal"/>
    <w:next w:val="Normal"/>
    <w:autoRedefine/>
    <w:semiHidden/>
    <w:rsid w:val="006A6EA9"/>
    <w:pPr>
      <w:spacing w:after="0" w:line="240" w:lineRule="auto"/>
      <w:ind w:left="1680"/>
    </w:pPr>
    <w:rPr>
      <w:rFonts w:ascii="Times New Roman" w:eastAsia="Times New Roman" w:hAnsi="Times New Roman" w:cs="Times New Roman"/>
      <w:sz w:val="24"/>
      <w:szCs w:val="24"/>
      <w:lang w:val="es-ES" w:eastAsia="es-ES"/>
    </w:rPr>
  </w:style>
  <w:style w:type="paragraph" w:styleId="TDC9">
    <w:name w:val="toc 9"/>
    <w:basedOn w:val="Normal"/>
    <w:next w:val="Normal"/>
    <w:autoRedefine/>
    <w:semiHidden/>
    <w:rsid w:val="006A6EA9"/>
    <w:pPr>
      <w:spacing w:after="0" w:line="240" w:lineRule="auto"/>
      <w:ind w:left="192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rsid w:val="006A6EA9"/>
    <w:pPr>
      <w:spacing w:after="0" w:line="240" w:lineRule="auto"/>
      <w:ind w:left="720"/>
      <w:jc w:val="both"/>
    </w:pPr>
    <w:rPr>
      <w:rFonts w:ascii="Verdana" w:eastAsia="Times New Roman" w:hAnsi="Verdana" w:cs="Times New Roman"/>
      <w:i/>
      <w:iCs/>
      <w:szCs w:val="24"/>
      <w:lang w:val="es-ES" w:eastAsia="es-ES"/>
    </w:rPr>
  </w:style>
  <w:style w:type="character" w:customStyle="1" w:styleId="SangradetextonormalCar">
    <w:name w:val="Sangría de texto normal Car"/>
    <w:basedOn w:val="Fuentedeprrafopredeter"/>
    <w:link w:val="Sangradetextonormal"/>
    <w:semiHidden/>
    <w:rsid w:val="006A6EA9"/>
    <w:rPr>
      <w:rFonts w:ascii="Verdana" w:eastAsia="Times New Roman" w:hAnsi="Verdana" w:cs="Times New Roman"/>
      <w:i/>
      <w:iCs/>
      <w:szCs w:val="24"/>
      <w:lang w:val="es-ES" w:eastAsia="es-ES"/>
    </w:rPr>
  </w:style>
  <w:style w:type="paragraph" w:styleId="Prrafodelista">
    <w:name w:val="List Paragraph"/>
    <w:basedOn w:val="Normal"/>
    <w:uiPriority w:val="34"/>
    <w:qFormat/>
    <w:rsid w:val="006A6EA9"/>
    <w:pPr>
      <w:spacing w:after="0" w:line="240" w:lineRule="auto"/>
      <w:ind w:left="708"/>
    </w:pPr>
    <w:rPr>
      <w:rFonts w:ascii="Times New Roman" w:eastAsia="Times New Roman" w:hAnsi="Times New Roman" w:cs="Times New Roman"/>
      <w:sz w:val="24"/>
      <w:szCs w:val="24"/>
      <w:lang w:val="es-ES" w:eastAsia="es-ES"/>
    </w:rPr>
  </w:style>
  <w:style w:type="table" w:styleId="Sombreadoclaro-nfasis4">
    <w:name w:val="Light Shading Accent 4"/>
    <w:basedOn w:val="Tablanormal"/>
    <w:uiPriority w:val="60"/>
    <w:rsid w:val="006A6EA9"/>
    <w:pPr>
      <w:spacing w:after="0" w:line="240" w:lineRule="auto"/>
    </w:pPr>
    <w:rPr>
      <w:rFonts w:ascii="Times New Roman" w:eastAsia="Times New Roman" w:hAnsi="Times New Roman" w:cs="Times New Roman"/>
      <w:color w:val="5F497A"/>
      <w:sz w:val="20"/>
      <w:szCs w:val="20"/>
      <w:lang w:eastAsia="es-C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3">
    <w:name w:val="Light Shading Accent 3"/>
    <w:basedOn w:val="Tablanormal"/>
    <w:uiPriority w:val="60"/>
    <w:rsid w:val="006A6EA9"/>
    <w:pPr>
      <w:spacing w:after="0" w:line="240" w:lineRule="auto"/>
    </w:pPr>
    <w:rPr>
      <w:rFonts w:ascii="Times New Roman" w:eastAsia="Times New Roman" w:hAnsi="Times New Roman" w:cs="Times New Roman"/>
      <w:color w:val="76923C"/>
      <w:sz w:val="20"/>
      <w:szCs w:val="20"/>
      <w:lang w:eastAsia="es-C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aconcuadrcula">
    <w:name w:val="Table Grid"/>
    <w:basedOn w:val="Tablanormal"/>
    <w:uiPriority w:val="59"/>
    <w:rsid w:val="006A6EA9"/>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
    <w:name w:val="Medium Grid 1"/>
    <w:basedOn w:val="Tablanormal"/>
    <w:uiPriority w:val="67"/>
    <w:rsid w:val="006A6EA9"/>
    <w:pPr>
      <w:spacing w:after="0" w:line="240" w:lineRule="auto"/>
    </w:pPr>
    <w:rPr>
      <w:rFonts w:ascii="Times New Roman" w:eastAsia="Times New Roman" w:hAnsi="Times New Roman" w:cs="Times New Roman"/>
      <w:sz w:val="20"/>
      <w:szCs w:val="20"/>
      <w:lang w:eastAsia="es-C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Textodeglobo">
    <w:name w:val="Balloon Text"/>
    <w:basedOn w:val="Normal"/>
    <w:link w:val="TextodegloboCar"/>
    <w:uiPriority w:val="99"/>
    <w:semiHidden/>
    <w:unhideWhenUsed/>
    <w:rsid w:val="006A6EA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A6EA9"/>
    <w:rPr>
      <w:rFonts w:ascii="Tahoma" w:eastAsia="Times New Roman" w:hAnsi="Tahoma" w:cs="Tahoma"/>
      <w:sz w:val="16"/>
      <w:szCs w:val="16"/>
      <w:lang w:val="es-ES" w:eastAsia="es-ES"/>
    </w:rPr>
  </w:style>
  <w:style w:type="table" w:styleId="Listaclara-nfasis3">
    <w:name w:val="Light List Accent 3"/>
    <w:basedOn w:val="Tablanormal"/>
    <w:uiPriority w:val="61"/>
    <w:rsid w:val="006A6EA9"/>
    <w:pPr>
      <w:spacing w:after="0" w:line="240" w:lineRule="auto"/>
    </w:pPr>
    <w:rPr>
      <w:rFonts w:ascii="Times New Roman" w:eastAsia="Times New Roman" w:hAnsi="Times New Roman" w:cs="Times New Roman"/>
      <w:sz w:val="20"/>
      <w:szCs w:val="20"/>
      <w:lang w:eastAsia="es-C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media2-nfasis6">
    <w:name w:val="Medium Grid 2 Accent 6"/>
    <w:basedOn w:val="Tablanormal"/>
    <w:uiPriority w:val="68"/>
    <w:rsid w:val="006A6EA9"/>
    <w:pPr>
      <w:spacing w:after="0" w:line="240" w:lineRule="auto"/>
    </w:pPr>
    <w:rPr>
      <w:rFonts w:ascii="Cambria" w:eastAsia="Times New Roman" w:hAnsi="Cambria" w:cs="Times New Roman"/>
      <w:color w:val="000000"/>
      <w:sz w:val="20"/>
      <w:szCs w:val="20"/>
      <w:lang w:eastAsia="es-C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Listaclara-nfasis1">
    <w:name w:val="Light List Accent 1"/>
    <w:basedOn w:val="Tablanormal"/>
    <w:uiPriority w:val="61"/>
    <w:rsid w:val="006A6EA9"/>
    <w:pPr>
      <w:spacing w:after="0" w:line="240" w:lineRule="auto"/>
    </w:pPr>
    <w:rPr>
      <w:rFonts w:ascii="Times New Roman" w:eastAsia="Times New Roman" w:hAnsi="Times New Roman" w:cs="Times New Roman"/>
      <w:sz w:val="20"/>
      <w:szCs w:val="20"/>
      <w:lang w:eastAsia="es-C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rsid w:val="006A6EA9"/>
    <w:pPr>
      <w:spacing w:after="0" w:line="240" w:lineRule="auto"/>
    </w:pPr>
    <w:rPr>
      <w:rFonts w:ascii="Times New Roman" w:eastAsia="Times New Roman" w:hAnsi="Times New Roman" w:cs="Times New Roman"/>
      <w:sz w:val="20"/>
      <w:szCs w:val="20"/>
      <w:lang w:eastAsia="es-C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6A6EA9"/>
    <w:pPr>
      <w:spacing w:after="0" w:line="240" w:lineRule="auto"/>
    </w:pPr>
    <w:rPr>
      <w:rFonts w:ascii="Times New Roman" w:eastAsia="Times New Roman" w:hAnsi="Times New Roman" w:cs="Times New Roman"/>
      <w:sz w:val="20"/>
      <w:szCs w:val="20"/>
      <w:lang w:eastAsia="es-C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vistosa-nfasis1">
    <w:name w:val="Colorful Grid Accent 1"/>
    <w:basedOn w:val="Tablanormal"/>
    <w:uiPriority w:val="73"/>
    <w:rsid w:val="006A6EA9"/>
    <w:pPr>
      <w:spacing w:after="0" w:line="240" w:lineRule="auto"/>
    </w:pPr>
    <w:rPr>
      <w:rFonts w:ascii="Times New Roman" w:eastAsia="Times New Roman" w:hAnsi="Times New Roman" w:cs="Times New Roman"/>
      <w:color w:val="000000"/>
      <w:sz w:val="20"/>
      <w:szCs w:val="20"/>
      <w:lang w:eastAsia="es-C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6C2C2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Refdecomentario">
    <w:name w:val="annotation reference"/>
    <w:basedOn w:val="Fuentedeprrafopredeter"/>
    <w:uiPriority w:val="99"/>
    <w:semiHidden/>
    <w:unhideWhenUsed/>
    <w:rsid w:val="00813757"/>
    <w:rPr>
      <w:sz w:val="16"/>
      <w:szCs w:val="16"/>
    </w:rPr>
  </w:style>
  <w:style w:type="paragraph" w:styleId="Textocomentario">
    <w:name w:val="annotation text"/>
    <w:basedOn w:val="Normal"/>
    <w:link w:val="TextocomentarioCar"/>
    <w:uiPriority w:val="99"/>
    <w:semiHidden/>
    <w:unhideWhenUsed/>
    <w:rsid w:val="00813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757"/>
    <w:rPr>
      <w:sz w:val="20"/>
      <w:szCs w:val="20"/>
    </w:rPr>
  </w:style>
  <w:style w:type="paragraph" w:styleId="Asuntodelcomentario">
    <w:name w:val="annotation subject"/>
    <w:basedOn w:val="Textocomentario"/>
    <w:next w:val="Textocomentario"/>
    <w:link w:val="AsuntodelcomentarioCar"/>
    <w:uiPriority w:val="99"/>
    <w:semiHidden/>
    <w:unhideWhenUsed/>
    <w:rsid w:val="00813757"/>
    <w:rPr>
      <w:b/>
      <w:bCs/>
    </w:rPr>
  </w:style>
  <w:style w:type="character" w:customStyle="1" w:styleId="AsuntodelcomentarioCar">
    <w:name w:val="Asunto del comentario Car"/>
    <w:basedOn w:val="TextocomentarioCar"/>
    <w:link w:val="Asuntodelcomentario"/>
    <w:uiPriority w:val="99"/>
    <w:semiHidden/>
    <w:rsid w:val="00813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4386">
      <w:bodyDiv w:val="1"/>
      <w:marLeft w:val="0"/>
      <w:marRight w:val="0"/>
      <w:marTop w:val="0"/>
      <w:marBottom w:val="0"/>
      <w:divBdr>
        <w:top w:val="none" w:sz="0" w:space="0" w:color="auto"/>
        <w:left w:val="none" w:sz="0" w:space="0" w:color="auto"/>
        <w:bottom w:val="none" w:sz="0" w:space="0" w:color="auto"/>
        <w:right w:val="none" w:sz="0" w:space="0" w:color="auto"/>
      </w:divBdr>
    </w:div>
    <w:div w:id="139350111">
      <w:bodyDiv w:val="1"/>
      <w:marLeft w:val="0"/>
      <w:marRight w:val="0"/>
      <w:marTop w:val="0"/>
      <w:marBottom w:val="0"/>
      <w:divBdr>
        <w:top w:val="none" w:sz="0" w:space="0" w:color="auto"/>
        <w:left w:val="none" w:sz="0" w:space="0" w:color="auto"/>
        <w:bottom w:val="none" w:sz="0" w:space="0" w:color="auto"/>
        <w:right w:val="none" w:sz="0" w:space="0" w:color="auto"/>
      </w:divBdr>
    </w:div>
    <w:div w:id="174881304">
      <w:bodyDiv w:val="1"/>
      <w:marLeft w:val="0"/>
      <w:marRight w:val="0"/>
      <w:marTop w:val="0"/>
      <w:marBottom w:val="0"/>
      <w:divBdr>
        <w:top w:val="none" w:sz="0" w:space="0" w:color="auto"/>
        <w:left w:val="none" w:sz="0" w:space="0" w:color="auto"/>
        <w:bottom w:val="none" w:sz="0" w:space="0" w:color="auto"/>
        <w:right w:val="none" w:sz="0" w:space="0" w:color="auto"/>
      </w:divBdr>
    </w:div>
    <w:div w:id="220748642">
      <w:bodyDiv w:val="1"/>
      <w:marLeft w:val="0"/>
      <w:marRight w:val="0"/>
      <w:marTop w:val="0"/>
      <w:marBottom w:val="0"/>
      <w:divBdr>
        <w:top w:val="none" w:sz="0" w:space="0" w:color="auto"/>
        <w:left w:val="none" w:sz="0" w:space="0" w:color="auto"/>
        <w:bottom w:val="none" w:sz="0" w:space="0" w:color="auto"/>
        <w:right w:val="none" w:sz="0" w:space="0" w:color="auto"/>
      </w:divBdr>
    </w:div>
    <w:div w:id="235477934">
      <w:bodyDiv w:val="1"/>
      <w:marLeft w:val="0"/>
      <w:marRight w:val="0"/>
      <w:marTop w:val="0"/>
      <w:marBottom w:val="0"/>
      <w:divBdr>
        <w:top w:val="none" w:sz="0" w:space="0" w:color="auto"/>
        <w:left w:val="none" w:sz="0" w:space="0" w:color="auto"/>
        <w:bottom w:val="none" w:sz="0" w:space="0" w:color="auto"/>
        <w:right w:val="none" w:sz="0" w:space="0" w:color="auto"/>
      </w:divBdr>
    </w:div>
    <w:div w:id="291717596">
      <w:bodyDiv w:val="1"/>
      <w:marLeft w:val="0"/>
      <w:marRight w:val="0"/>
      <w:marTop w:val="0"/>
      <w:marBottom w:val="0"/>
      <w:divBdr>
        <w:top w:val="none" w:sz="0" w:space="0" w:color="auto"/>
        <w:left w:val="none" w:sz="0" w:space="0" w:color="auto"/>
        <w:bottom w:val="none" w:sz="0" w:space="0" w:color="auto"/>
        <w:right w:val="none" w:sz="0" w:space="0" w:color="auto"/>
      </w:divBdr>
    </w:div>
    <w:div w:id="311567835">
      <w:bodyDiv w:val="1"/>
      <w:marLeft w:val="0"/>
      <w:marRight w:val="0"/>
      <w:marTop w:val="0"/>
      <w:marBottom w:val="0"/>
      <w:divBdr>
        <w:top w:val="none" w:sz="0" w:space="0" w:color="auto"/>
        <w:left w:val="none" w:sz="0" w:space="0" w:color="auto"/>
        <w:bottom w:val="none" w:sz="0" w:space="0" w:color="auto"/>
        <w:right w:val="none" w:sz="0" w:space="0" w:color="auto"/>
      </w:divBdr>
    </w:div>
    <w:div w:id="396166710">
      <w:bodyDiv w:val="1"/>
      <w:marLeft w:val="0"/>
      <w:marRight w:val="0"/>
      <w:marTop w:val="0"/>
      <w:marBottom w:val="0"/>
      <w:divBdr>
        <w:top w:val="none" w:sz="0" w:space="0" w:color="auto"/>
        <w:left w:val="none" w:sz="0" w:space="0" w:color="auto"/>
        <w:bottom w:val="none" w:sz="0" w:space="0" w:color="auto"/>
        <w:right w:val="none" w:sz="0" w:space="0" w:color="auto"/>
      </w:divBdr>
    </w:div>
    <w:div w:id="463234217">
      <w:bodyDiv w:val="1"/>
      <w:marLeft w:val="0"/>
      <w:marRight w:val="0"/>
      <w:marTop w:val="0"/>
      <w:marBottom w:val="0"/>
      <w:divBdr>
        <w:top w:val="none" w:sz="0" w:space="0" w:color="auto"/>
        <w:left w:val="none" w:sz="0" w:space="0" w:color="auto"/>
        <w:bottom w:val="none" w:sz="0" w:space="0" w:color="auto"/>
        <w:right w:val="none" w:sz="0" w:space="0" w:color="auto"/>
      </w:divBdr>
    </w:div>
    <w:div w:id="579867983">
      <w:bodyDiv w:val="1"/>
      <w:marLeft w:val="0"/>
      <w:marRight w:val="0"/>
      <w:marTop w:val="0"/>
      <w:marBottom w:val="0"/>
      <w:divBdr>
        <w:top w:val="none" w:sz="0" w:space="0" w:color="auto"/>
        <w:left w:val="none" w:sz="0" w:space="0" w:color="auto"/>
        <w:bottom w:val="none" w:sz="0" w:space="0" w:color="auto"/>
        <w:right w:val="none" w:sz="0" w:space="0" w:color="auto"/>
      </w:divBdr>
    </w:div>
    <w:div w:id="731392863">
      <w:bodyDiv w:val="1"/>
      <w:marLeft w:val="0"/>
      <w:marRight w:val="0"/>
      <w:marTop w:val="0"/>
      <w:marBottom w:val="0"/>
      <w:divBdr>
        <w:top w:val="none" w:sz="0" w:space="0" w:color="auto"/>
        <w:left w:val="none" w:sz="0" w:space="0" w:color="auto"/>
        <w:bottom w:val="none" w:sz="0" w:space="0" w:color="auto"/>
        <w:right w:val="none" w:sz="0" w:space="0" w:color="auto"/>
      </w:divBdr>
    </w:div>
    <w:div w:id="878081557">
      <w:bodyDiv w:val="1"/>
      <w:marLeft w:val="0"/>
      <w:marRight w:val="0"/>
      <w:marTop w:val="0"/>
      <w:marBottom w:val="0"/>
      <w:divBdr>
        <w:top w:val="none" w:sz="0" w:space="0" w:color="auto"/>
        <w:left w:val="none" w:sz="0" w:space="0" w:color="auto"/>
        <w:bottom w:val="none" w:sz="0" w:space="0" w:color="auto"/>
        <w:right w:val="none" w:sz="0" w:space="0" w:color="auto"/>
      </w:divBdr>
    </w:div>
    <w:div w:id="1581016030">
      <w:bodyDiv w:val="1"/>
      <w:marLeft w:val="0"/>
      <w:marRight w:val="0"/>
      <w:marTop w:val="0"/>
      <w:marBottom w:val="0"/>
      <w:divBdr>
        <w:top w:val="none" w:sz="0" w:space="0" w:color="auto"/>
        <w:left w:val="none" w:sz="0" w:space="0" w:color="auto"/>
        <w:bottom w:val="none" w:sz="0" w:space="0" w:color="auto"/>
        <w:right w:val="none" w:sz="0" w:space="0" w:color="auto"/>
      </w:divBdr>
    </w:div>
    <w:div w:id="1794133899">
      <w:bodyDiv w:val="1"/>
      <w:marLeft w:val="0"/>
      <w:marRight w:val="0"/>
      <w:marTop w:val="0"/>
      <w:marBottom w:val="0"/>
      <w:divBdr>
        <w:top w:val="none" w:sz="0" w:space="0" w:color="auto"/>
        <w:left w:val="none" w:sz="0" w:space="0" w:color="auto"/>
        <w:bottom w:val="none" w:sz="0" w:space="0" w:color="auto"/>
        <w:right w:val="none" w:sz="0" w:space="0" w:color="auto"/>
      </w:divBdr>
    </w:div>
    <w:div w:id="1888952962">
      <w:bodyDiv w:val="1"/>
      <w:marLeft w:val="0"/>
      <w:marRight w:val="0"/>
      <w:marTop w:val="0"/>
      <w:marBottom w:val="0"/>
      <w:divBdr>
        <w:top w:val="none" w:sz="0" w:space="0" w:color="auto"/>
        <w:left w:val="none" w:sz="0" w:space="0" w:color="auto"/>
        <w:bottom w:val="none" w:sz="0" w:space="0" w:color="auto"/>
        <w:right w:val="none" w:sz="0" w:space="0" w:color="auto"/>
      </w:divBdr>
    </w:div>
    <w:div w:id="1999915903">
      <w:bodyDiv w:val="1"/>
      <w:marLeft w:val="0"/>
      <w:marRight w:val="0"/>
      <w:marTop w:val="0"/>
      <w:marBottom w:val="0"/>
      <w:divBdr>
        <w:top w:val="none" w:sz="0" w:space="0" w:color="auto"/>
        <w:left w:val="none" w:sz="0" w:space="0" w:color="auto"/>
        <w:bottom w:val="none" w:sz="0" w:space="0" w:color="auto"/>
        <w:right w:val="none" w:sz="0" w:space="0" w:color="auto"/>
      </w:divBdr>
    </w:div>
    <w:div w:id="20129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Gerson\Documents\Cursos\II-2015\Practica%20profesional\Archivo%20nacional\Libro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Gerson\Documents\Cursos\II-2015\Practica%20profesional\Archivo%20nacional\Tabulaciones%20basicas%20preliminares.xls"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erson\Documents\Cursos\II-2015\Practica%20profesional\Archivo%20nacional\Libro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Gerson\Documents\Cursos\II-2015\Practica%20profesional\Archivo%20nacional\Tabulaciones%20basicas%20preliminares.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Gerson\Documents\Cursos\II-2015\Practica%20profesional\Archivo%20nacional\Tabulaciones%20basicas%20preliminare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Gerson\Documents\Cursos\II-2015\Practica%20profesional\Archivo%20nacional\Tabulaciones%20basicas%20preliminares.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Gerson\Documents\Cursos\II-2015\Practica%20profesional\Archivo%20nacional\Tabulaciones%20basicas%20preliminares.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1.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Gerson\Documents\Cursos\II-2015\Practica%20profesional\Archivo%20nacional\Tabulaciones%20basicas%20preliminares.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Gerson\Documents\Cursos\II-2015\Practica%20profesional\Archivo%20nacional\Tabulaciones%20basicas%20preliminares.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900" b="1">
                <a:latin typeface="Arial" pitchFamily="34" charset="0"/>
                <a:cs typeface="Arial" pitchFamily="34" charset="0"/>
              </a:rPr>
              <a:t>Gráfico</a:t>
            </a:r>
            <a:r>
              <a:rPr lang="en-US" sz="900" b="1" baseline="0">
                <a:latin typeface="Arial" pitchFamily="34" charset="0"/>
                <a:cs typeface="Arial" pitchFamily="34" charset="0"/>
              </a:rPr>
              <a:t> 1</a:t>
            </a:r>
            <a:endParaRPr lang="en-US" sz="900" b="1">
              <a:latin typeface="Arial" pitchFamily="34" charset="0"/>
              <a:cs typeface="Arial" pitchFamily="34" charset="0"/>
            </a:endParaRPr>
          </a:p>
          <a:p>
            <a:pPr>
              <a:defRPr sz="1400" b="0" i="0" u="none" strike="noStrike" kern="1200" spc="0" baseline="0">
                <a:solidFill>
                  <a:schemeClr val="tx1"/>
                </a:solidFill>
                <a:latin typeface="+mn-lt"/>
                <a:ea typeface="+mn-ea"/>
                <a:cs typeface="+mn-cs"/>
              </a:defRPr>
            </a:pPr>
            <a:r>
              <a:rPr lang="es-ES" sz="900" b="1">
                <a:effectLst/>
                <a:latin typeface="Arial" pitchFamily="34" charset="0"/>
                <a:cs typeface="Arial" pitchFamily="34" charset="0"/>
              </a:rPr>
              <a:t>Total de Informes Archivísticos presentados entre los años 2009-2015</a:t>
            </a:r>
            <a:endParaRPr lang="es-CR" sz="900">
              <a:effectLst/>
              <a:latin typeface="Arial" pitchFamily="34" charset="0"/>
              <a:cs typeface="Arial" pitchFamily="34" charset="0"/>
            </a:endParaRPr>
          </a:p>
        </c:rich>
      </c:tx>
      <c:overlay val="0"/>
      <c:spPr>
        <a:noFill/>
        <a:ln>
          <a:noFill/>
        </a:ln>
        <a:effectLst/>
      </c:spPr>
    </c:title>
    <c:autoTitleDeleted val="0"/>
    <c:plotArea>
      <c:layout/>
      <c:lineChart>
        <c:grouping val="standard"/>
        <c:varyColors val="0"/>
        <c:ser>
          <c:idx val="0"/>
          <c:order val="0"/>
          <c:tx>
            <c:strRef>
              <c:f>Hoja1!$A$2</c:f>
              <c:strCache>
                <c:ptCount val="1"/>
                <c:pt idx="0">
                  <c:v>Número de informes recibidos en el Archivo Nacional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Hoja1!$B$1:$G$1</c:f>
              <c:strCache>
                <c:ptCount val="6"/>
                <c:pt idx="0">
                  <c:v>2009-2010</c:v>
                </c:pt>
                <c:pt idx="1">
                  <c:v>2010-2011</c:v>
                </c:pt>
                <c:pt idx="2">
                  <c:v>2011-2012</c:v>
                </c:pt>
                <c:pt idx="3">
                  <c:v>2012-2013</c:v>
                </c:pt>
                <c:pt idx="4">
                  <c:v>2013-2014</c:v>
                </c:pt>
                <c:pt idx="5">
                  <c:v>2014-2015</c:v>
                </c:pt>
              </c:strCache>
            </c:strRef>
          </c:cat>
          <c:val>
            <c:numRef>
              <c:f>Hoja1!$B$2:$G$2</c:f>
              <c:numCache>
                <c:formatCode>General</c:formatCode>
                <c:ptCount val="6"/>
                <c:pt idx="0">
                  <c:v>78</c:v>
                </c:pt>
                <c:pt idx="1">
                  <c:v>113</c:v>
                </c:pt>
                <c:pt idx="2">
                  <c:v>114</c:v>
                </c:pt>
                <c:pt idx="3">
                  <c:v>104</c:v>
                </c:pt>
                <c:pt idx="4">
                  <c:v>121</c:v>
                </c:pt>
                <c:pt idx="5">
                  <c:v>119</c:v>
                </c:pt>
              </c:numCache>
            </c:numRef>
          </c:val>
          <c:smooth val="0"/>
        </c:ser>
        <c:dLbls>
          <c:dLblPos val="t"/>
          <c:showLegendKey val="0"/>
          <c:showVal val="1"/>
          <c:showCatName val="0"/>
          <c:showSerName val="0"/>
          <c:showPercent val="0"/>
          <c:showBubbleSize val="0"/>
        </c:dLbls>
        <c:smooth val="0"/>
        <c:axId val="-1983055104"/>
        <c:axId val="-1983056736"/>
      </c:lineChart>
      <c:catAx>
        <c:axId val="-198305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1983056736"/>
        <c:crosses val="autoZero"/>
        <c:auto val="1"/>
        <c:lblAlgn val="ctr"/>
        <c:lblOffset val="100"/>
        <c:noMultiLvlLbl val="0"/>
      </c:catAx>
      <c:valAx>
        <c:axId val="-1983056736"/>
        <c:scaling>
          <c:orientation val="minMax"/>
          <c:min val="40"/>
        </c:scaling>
        <c:delete val="1"/>
        <c:axPos val="l"/>
        <c:numFmt formatCode="General" sourceLinked="1"/>
        <c:majorTickMark val="none"/>
        <c:minorTickMark val="none"/>
        <c:tickLblPos val="nextTo"/>
        <c:crossAx val="-1983055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s-E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900"/>
            </a:pPr>
            <a:r>
              <a:rPr lang="es-ES" sz="900"/>
              <a:t>Gráfico 10</a:t>
            </a:r>
            <a:endParaRPr lang="es-CR" sz="900"/>
          </a:p>
          <a:p>
            <a:pPr>
              <a:defRPr sz="900"/>
            </a:pPr>
            <a:r>
              <a:rPr lang="es-ES" sz="900"/>
              <a:t>Porcentaje de archivos centrales que cuentan con la estantería suficiente para no colocar documentos en el suelo</a:t>
            </a:r>
            <a:endParaRPr lang="es-CR" sz="900"/>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vert="horz"/>
              <a:lstStyle/>
              <a:p>
                <a:pPr>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Hoja12!$C$4:$C$6</c:f>
              <c:strCache>
                <c:ptCount val="3"/>
                <c:pt idx="0">
                  <c:v>Si</c:v>
                </c:pt>
                <c:pt idx="1">
                  <c:v>No</c:v>
                </c:pt>
                <c:pt idx="2">
                  <c:v>No responde</c:v>
                </c:pt>
              </c:strCache>
            </c:strRef>
          </c:cat>
          <c:val>
            <c:numRef>
              <c:f>Hoja12!$E$4:$E$6</c:f>
              <c:numCache>
                <c:formatCode>0.0</c:formatCode>
                <c:ptCount val="3"/>
                <c:pt idx="0">
                  <c:v>65.546218487394952</c:v>
                </c:pt>
                <c:pt idx="1">
                  <c:v>33.613445378151262</c:v>
                </c:pt>
                <c:pt idx="2">
                  <c:v>0.84033613445378152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s-E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s-ES" sz="900" b="1">
                <a:latin typeface="Arial" pitchFamily="34" charset="0"/>
                <a:cs typeface="Arial" pitchFamily="34" charset="0"/>
              </a:rPr>
              <a:t>Gráfico 2</a:t>
            </a:r>
          </a:p>
          <a:p>
            <a:pPr>
              <a:defRPr sz="1400" b="0" i="0" u="none" strike="noStrike" kern="1200" spc="0" baseline="0">
                <a:solidFill>
                  <a:schemeClr val="tx1"/>
                </a:solidFill>
                <a:latin typeface="+mn-lt"/>
                <a:ea typeface="+mn-ea"/>
                <a:cs typeface="+mn-cs"/>
              </a:defRPr>
            </a:pPr>
            <a:r>
              <a:rPr lang="es-ES" sz="900" b="1">
                <a:latin typeface="Arial" pitchFamily="34" charset="0"/>
                <a:cs typeface="Arial" pitchFamily="34" charset="0"/>
              </a:rPr>
              <a:t>Distribución porcentual de entidades que presentaron el Informe de Desarrollo Archivístico Período 2014-2015</a:t>
            </a:r>
          </a:p>
          <a:p>
            <a:pPr>
              <a:defRPr sz="1400" b="0" i="0" u="none" strike="noStrike" kern="1200" spc="0" baseline="0">
                <a:solidFill>
                  <a:schemeClr val="tx1"/>
                </a:solidFill>
                <a:latin typeface="+mn-lt"/>
                <a:ea typeface="+mn-ea"/>
                <a:cs typeface="+mn-cs"/>
              </a:defRPr>
            </a:pPr>
            <a:endParaRPr lang="es-ES"/>
          </a:p>
        </c:rich>
      </c:tx>
      <c:overlay val="0"/>
      <c:spPr>
        <a:noFill/>
        <a:ln>
          <a:noFill/>
        </a:ln>
        <a:effectLst/>
      </c:spPr>
    </c:title>
    <c:autoTitleDeleted val="0"/>
    <c:plotArea>
      <c:layout>
        <c:manualLayout>
          <c:layoutTarget val="inner"/>
          <c:xMode val="edge"/>
          <c:yMode val="edge"/>
          <c:x val="0.30791671360757344"/>
          <c:y val="0.28706630571190378"/>
          <c:w val="0.35911459440645577"/>
          <c:h val="0.5342105494822224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Hoja2!$D$2:$D$3</c:f>
              <c:strCache>
                <c:ptCount val="2"/>
                <c:pt idx="0">
                  <c:v>Si</c:v>
                </c:pt>
                <c:pt idx="1">
                  <c:v>No</c:v>
                </c:pt>
              </c:strCache>
            </c:strRef>
          </c:cat>
          <c:val>
            <c:numRef>
              <c:f>Hoja2!$E$2:$E$3</c:f>
              <c:numCache>
                <c:formatCode>0.0</c:formatCode>
                <c:ptCount val="2"/>
                <c:pt idx="0">
                  <c:v>36.280487804878049</c:v>
                </c:pt>
                <c:pt idx="1">
                  <c:v>63.719512195121951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1178318785308414"/>
          <c:y val="0.75621069105492245"/>
          <c:w val="0.12201469597093682"/>
          <c:h val="6.98762654668166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s-ES" sz="900" b="1">
                <a:latin typeface="Arial" pitchFamily="34" charset="0"/>
                <a:cs typeface="Arial" pitchFamily="34" charset="0"/>
              </a:rPr>
              <a:t>Gráfico 3</a:t>
            </a:r>
          </a:p>
          <a:p>
            <a:pPr>
              <a:defRPr sz="1400" b="0" i="0" u="none" strike="noStrike" kern="1200" spc="0" baseline="0">
                <a:solidFill>
                  <a:schemeClr val="tx1"/>
                </a:solidFill>
                <a:latin typeface="+mn-lt"/>
                <a:ea typeface="+mn-ea"/>
                <a:cs typeface="+mn-cs"/>
              </a:defRPr>
            </a:pPr>
            <a:r>
              <a:rPr lang="es-ES" sz="900" b="1">
                <a:latin typeface="Arial" pitchFamily="34" charset="0"/>
                <a:cs typeface="Arial" pitchFamily="34" charset="0"/>
              </a:rPr>
              <a:t>Control ejercido por los Encargados de Archivos Centrales en la aplicación de normativa, período 2014-2015</a:t>
            </a:r>
          </a:p>
        </c:rich>
      </c:tx>
      <c:overlay val="0"/>
      <c:spPr>
        <a:noFill/>
        <a:ln w="25400">
          <a:noFill/>
        </a:ln>
      </c:spPr>
    </c:title>
    <c:autoTitleDeleted val="0"/>
    <c:plotArea>
      <c:layout/>
      <c:barChart>
        <c:barDir val="bar"/>
        <c:grouping val="percentStacked"/>
        <c:varyColors val="0"/>
        <c:ser>
          <c:idx val="0"/>
          <c:order val="0"/>
          <c:tx>
            <c:strRef>
              <c:f>Hoja2!$B$3</c:f>
              <c:strCache>
                <c:ptCount val="1"/>
                <c:pt idx="0">
                  <c:v>Si</c:v>
                </c:pt>
              </c:strCache>
            </c:strRef>
          </c:tx>
          <c:spPr>
            <a:solidFill>
              <a:srgbClr val="5B9BD5"/>
            </a:solidFill>
            <a:ln w="25400">
              <a:noFill/>
            </a:ln>
          </c:spPr>
          <c:invertIfNegative val="0"/>
          <c:cat>
            <c:strRef>
              <c:f>Hoja2!$C$2:$D$2</c:f>
              <c:strCache>
                <c:ptCount val="2"/>
                <c:pt idx="0">
                  <c:v>Normativa interna</c:v>
                </c:pt>
                <c:pt idx="1">
                  <c:v>Normativa JAAN</c:v>
                </c:pt>
              </c:strCache>
            </c:strRef>
          </c:cat>
          <c:val>
            <c:numRef>
              <c:f>Hoja2!$C$3:$D$3</c:f>
              <c:numCache>
                <c:formatCode>###0.0</c:formatCode>
                <c:ptCount val="2"/>
                <c:pt idx="0">
                  <c:v>61.344537815126053</c:v>
                </c:pt>
                <c:pt idx="1">
                  <c:v>32.773109243697476</c:v>
                </c:pt>
              </c:numCache>
            </c:numRef>
          </c:val>
        </c:ser>
        <c:ser>
          <c:idx val="1"/>
          <c:order val="1"/>
          <c:tx>
            <c:strRef>
              <c:f>Hoja2!$B$4</c:f>
              <c:strCache>
                <c:ptCount val="1"/>
                <c:pt idx="0">
                  <c:v>Parcialmente</c:v>
                </c:pt>
              </c:strCache>
            </c:strRef>
          </c:tx>
          <c:spPr>
            <a:solidFill>
              <a:schemeClr val="bg2">
                <a:lumMod val="75000"/>
              </a:schemeClr>
            </a:solidFill>
            <a:ln>
              <a:noFill/>
            </a:ln>
            <a:effectLst/>
          </c:spPr>
          <c:invertIfNegative val="0"/>
          <c:cat>
            <c:strRef>
              <c:f>Hoja2!$C$2:$D$2</c:f>
              <c:strCache>
                <c:ptCount val="2"/>
                <c:pt idx="0">
                  <c:v>Normativa interna</c:v>
                </c:pt>
                <c:pt idx="1">
                  <c:v>Normativa JAAN</c:v>
                </c:pt>
              </c:strCache>
            </c:strRef>
          </c:cat>
          <c:val>
            <c:numRef>
              <c:f>Hoja2!$C$4:$D$4</c:f>
              <c:numCache>
                <c:formatCode>###0.0</c:formatCode>
                <c:ptCount val="2"/>
                <c:pt idx="0">
                  <c:v>29.411764705882351</c:v>
                </c:pt>
                <c:pt idx="1">
                  <c:v>48.739495798319325</c:v>
                </c:pt>
              </c:numCache>
            </c:numRef>
          </c:val>
        </c:ser>
        <c:ser>
          <c:idx val="2"/>
          <c:order val="2"/>
          <c:tx>
            <c:strRef>
              <c:f>Hoja2!$B$5</c:f>
              <c:strCache>
                <c:ptCount val="1"/>
                <c:pt idx="0">
                  <c:v>No</c:v>
                </c:pt>
              </c:strCache>
            </c:strRef>
          </c:tx>
          <c:spPr>
            <a:solidFill>
              <a:srgbClr val="ED7D31"/>
            </a:solidFill>
            <a:ln w="25400">
              <a:noFill/>
            </a:ln>
          </c:spPr>
          <c:invertIfNegative val="0"/>
          <c:cat>
            <c:strRef>
              <c:f>Hoja2!$C$2:$D$2</c:f>
              <c:strCache>
                <c:ptCount val="2"/>
                <c:pt idx="0">
                  <c:v>Normativa interna</c:v>
                </c:pt>
                <c:pt idx="1">
                  <c:v>Normativa JAAN</c:v>
                </c:pt>
              </c:strCache>
            </c:strRef>
          </c:cat>
          <c:val>
            <c:numRef>
              <c:f>Hoja2!$C$5:$D$5</c:f>
              <c:numCache>
                <c:formatCode>###0.0</c:formatCode>
                <c:ptCount val="2"/>
                <c:pt idx="0" formatCode="####.0">
                  <c:v>0.84033613445378152</c:v>
                </c:pt>
                <c:pt idx="1">
                  <c:v>16.806722689075631</c:v>
                </c:pt>
              </c:numCache>
            </c:numRef>
          </c:val>
        </c:ser>
        <c:ser>
          <c:idx val="3"/>
          <c:order val="3"/>
          <c:tx>
            <c:strRef>
              <c:f>Hoja2!$B$6</c:f>
              <c:strCache>
                <c:ptCount val="1"/>
                <c:pt idx="0">
                  <c:v>NS/NR</c:v>
                </c:pt>
              </c:strCache>
            </c:strRef>
          </c:tx>
          <c:spPr>
            <a:solidFill>
              <a:srgbClr val="FFC000"/>
            </a:solidFill>
            <a:ln w="25400">
              <a:noFill/>
            </a:ln>
          </c:spPr>
          <c:invertIfNegative val="0"/>
          <c:cat>
            <c:strRef>
              <c:f>Hoja2!$C$2:$D$2</c:f>
              <c:strCache>
                <c:ptCount val="2"/>
                <c:pt idx="0">
                  <c:v>Normativa interna</c:v>
                </c:pt>
                <c:pt idx="1">
                  <c:v>Normativa JAAN</c:v>
                </c:pt>
              </c:strCache>
            </c:strRef>
          </c:cat>
          <c:val>
            <c:numRef>
              <c:f>Hoja2!$C$6:$D$6</c:f>
              <c:numCache>
                <c:formatCode>###0.0</c:formatCode>
                <c:ptCount val="2"/>
                <c:pt idx="0">
                  <c:v>2.5210084033613445</c:v>
                </c:pt>
                <c:pt idx="1">
                  <c:v>0</c:v>
                </c:pt>
              </c:numCache>
            </c:numRef>
          </c:val>
        </c:ser>
        <c:dLbls>
          <c:showLegendKey val="0"/>
          <c:showVal val="0"/>
          <c:showCatName val="0"/>
          <c:showSerName val="0"/>
          <c:showPercent val="0"/>
          <c:showBubbleSize val="0"/>
        </c:dLbls>
        <c:gapWidth val="150"/>
        <c:overlap val="100"/>
        <c:axId val="-1983064352"/>
        <c:axId val="-1983058912"/>
      </c:barChart>
      <c:catAx>
        <c:axId val="-1983064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ES"/>
          </a:p>
        </c:txPr>
        <c:crossAx val="-1983058912"/>
        <c:crosses val="autoZero"/>
        <c:auto val="1"/>
        <c:lblAlgn val="ctr"/>
        <c:lblOffset val="100"/>
        <c:noMultiLvlLbl val="0"/>
      </c:catAx>
      <c:valAx>
        <c:axId val="-1983058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ES"/>
          </a:p>
        </c:txPr>
        <c:crossAx val="-1983064352"/>
        <c:crosses val="autoZero"/>
        <c:crossBetween val="between"/>
        <c:majorUnit val="0.2"/>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s-ES" sz="900" b="1">
                <a:latin typeface="Arial" pitchFamily="34" charset="0"/>
                <a:cs typeface="Arial" pitchFamily="34" charset="0"/>
              </a:rPr>
              <a:t>Gráfico 4</a:t>
            </a:r>
          </a:p>
          <a:p>
            <a:pPr>
              <a:defRPr sz="1100" b="1" i="0" u="none" strike="noStrike" kern="1200" spc="0" baseline="0">
                <a:solidFill>
                  <a:schemeClr val="tx1"/>
                </a:solidFill>
                <a:latin typeface="+mn-lt"/>
                <a:ea typeface="+mn-ea"/>
                <a:cs typeface="+mn-cs"/>
              </a:defRPr>
            </a:pPr>
            <a:r>
              <a:rPr lang="es-ES" sz="900" b="1">
                <a:latin typeface="Arial" pitchFamily="34" charset="0"/>
                <a:cs typeface="Arial" pitchFamily="34" charset="0"/>
              </a:rPr>
              <a:t>¿Existen documentos electrónicos o digitalizados en la institución?</a:t>
            </a:r>
          </a:p>
        </c:rich>
      </c:tx>
      <c:layout>
        <c:manualLayout>
          <c:xMode val="edge"/>
          <c:yMode val="edge"/>
          <c:x val="0.18597713802179863"/>
          <c:y val="2.7410503305855097E-2"/>
        </c:manualLayout>
      </c:layout>
      <c:overlay val="0"/>
      <c:spPr>
        <a:noFill/>
        <a:ln w="25400">
          <a:noFill/>
        </a:ln>
      </c:spPr>
    </c:title>
    <c:autoTitleDeleted val="0"/>
    <c:plotArea>
      <c:layout>
        <c:manualLayout>
          <c:layoutTarget val="inner"/>
          <c:xMode val="edge"/>
          <c:yMode val="edge"/>
          <c:x val="4.1577492734040565E-2"/>
          <c:y val="0.28759770638397192"/>
          <c:w val="0.83315506035171949"/>
          <c:h val="0.61942001003310554"/>
        </c:manualLayout>
      </c:layout>
      <c:ofPieChart>
        <c:ofPieType val="bar"/>
        <c:varyColors val="1"/>
        <c:ser>
          <c:idx val="0"/>
          <c:order val="0"/>
          <c:dPt>
            <c:idx val="0"/>
            <c:bubble3D val="0"/>
            <c:spPr>
              <a:solidFill>
                <a:schemeClr val="accent2"/>
              </a:solidFill>
              <a:ln w="19050">
                <a:solidFill>
                  <a:schemeClr val="lt1"/>
                </a:solidFill>
              </a:ln>
              <a:effectLst/>
            </c:spPr>
          </c:dPt>
          <c:dPt>
            <c:idx val="1"/>
            <c:bubble3D val="0"/>
            <c:spPr>
              <a:solidFill>
                <a:schemeClr val="accent6">
                  <a:lumMod val="60000"/>
                  <a:lumOff val="4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1"/>
              </a:solidFill>
              <a:ln w="19050">
                <a:solidFill>
                  <a:schemeClr val="lt1"/>
                </a:solidFill>
              </a:ln>
              <a:effectLst/>
            </c:spPr>
          </c:dPt>
          <c:dLbls>
            <c:dLbl>
              <c:idx val="0"/>
              <c:tx>
                <c:rich>
                  <a:bodyPr/>
                  <a:lstStyle/>
                  <a:p>
                    <a:r>
                      <a:rPr lang="en-US"/>
                      <a:t>No,</a:t>
                    </a:r>
                    <a:r>
                      <a:rPr lang="en-US" baseline="0"/>
                      <a:t> 4,2%</a:t>
                    </a:r>
                    <a:endParaRPr lang="en-US"/>
                  </a:p>
                </c:rich>
              </c:tx>
              <c:dLblPos val="bestFit"/>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Si,65,5%</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No, 29,4%</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4.5426613339999171E-3"/>
                  <c:y val="2.0240841750661519E-3"/>
                </c:manualLayout>
              </c:layout>
              <c:tx>
                <c:rich>
                  <a:bodyPr/>
                  <a:lstStyle/>
                  <a:p>
                    <a:r>
                      <a:rPr lang="en-US"/>
                      <a:t>Si, 94,6%</a:t>
                    </a:r>
                  </a:p>
                </c:rich>
              </c:tx>
              <c:dLblPos val="bestFit"/>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Hoja4!$K$9:$K$11</c:f>
              <c:strCache>
                <c:ptCount val="3"/>
                <c:pt idx="0">
                  <c:v>No</c:v>
                </c:pt>
                <c:pt idx="1">
                  <c:v>Si</c:v>
                </c:pt>
                <c:pt idx="2">
                  <c:v>No</c:v>
                </c:pt>
              </c:strCache>
            </c:strRef>
          </c:cat>
          <c:val>
            <c:numRef>
              <c:f>Hoja4!$M$9:$M$11</c:f>
              <c:numCache>
                <c:formatCode>General</c:formatCode>
                <c:ptCount val="3"/>
                <c:pt idx="0">
                  <c:v>4.2016806722689077</c:v>
                </c:pt>
                <c:pt idx="1">
                  <c:v>65.546218487394952</c:v>
                </c:pt>
                <c:pt idx="2">
                  <c:v>29.411764705882355</c:v>
                </c:pt>
              </c:numCache>
            </c:numRef>
          </c:val>
        </c:ser>
        <c:dLbls>
          <c:showLegendKey val="0"/>
          <c:showVal val="0"/>
          <c:showCatName val="0"/>
          <c:showSerName val="0"/>
          <c:showPercent val="0"/>
          <c:showBubbleSize val="0"/>
          <c:showLeaderLines val="1"/>
        </c:dLbls>
        <c:gapWidth val="379"/>
        <c:splitType val="pos"/>
        <c:splitPos val="2"/>
        <c:secondPieSize val="75"/>
        <c:serLines>
          <c:spPr>
            <a:ln w="9525" cap="flat" cmpd="sng" algn="ctr">
              <a:solidFill>
                <a:schemeClr val="tx1">
                  <a:lumMod val="35000"/>
                  <a:lumOff val="65000"/>
                </a:schemeClr>
              </a:solidFill>
              <a:round/>
            </a:ln>
            <a:effectLst/>
          </c:spPr>
        </c:serLines>
      </c:ofPieChart>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s-E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CR" sz="900" b="1">
                <a:latin typeface="Arial" pitchFamily="34" charset="0"/>
                <a:cs typeface="Arial" pitchFamily="34" charset="0"/>
              </a:rPr>
              <a:t>Gráfico 5</a:t>
            </a:r>
          </a:p>
          <a:p>
            <a:pPr>
              <a:defRPr sz="1400" b="0" i="0" u="none" strike="noStrike" kern="1200" spc="0" baseline="0">
                <a:solidFill>
                  <a:sysClr val="windowText" lastClr="000000"/>
                </a:solidFill>
                <a:latin typeface="+mn-lt"/>
                <a:ea typeface="+mn-ea"/>
                <a:cs typeface="+mn-cs"/>
              </a:defRPr>
            </a:pPr>
            <a:r>
              <a:rPr lang="es-CR" sz="900" b="1">
                <a:latin typeface="Arial" pitchFamily="34" charset="0"/>
                <a:cs typeface="Arial" pitchFamily="34" charset="0"/>
              </a:rPr>
              <a:t>Distribucion porcentual de los tipos</a:t>
            </a:r>
            <a:r>
              <a:rPr lang="es-CR" sz="900" b="1" baseline="0">
                <a:latin typeface="Arial" pitchFamily="34" charset="0"/>
                <a:cs typeface="Arial" pitchFamily="34" charset="0"/>
              </a:rPr>
              <a:t> de </a:t>
            </a:r>
            <a:r>
              <a:rPr lang="es-CR" sz="900" b="1">
                <a:latin typeface="Arial" pitchFamily="34" charset="0"/>
                <a:cs typeface="Arial" pitchFamily="34" charset="0"/>
              </a:rPr>
              <a:t>Sistemas de Clasificación implementados, periodo 2014-2015</a:t>
            </a:r>
          </a:p>
        </c:rich>
      </c:tx>
      <c:overlay val="0"/>
      <c:spPr>
        <a:noFill/>
        <a:ln>
          <a:noFill/>
        </a:ln>
        <a:effectLst/>
      </c:spPr>
    </c:title>
    <c:autoTitleDeleted val="0"/>
    <c:plotArea>
      <c:layout>
        <c:manualLayout>
          <c:layoutTarget val="inner"/>
          <c:xMode val="edge"/>
          <c:yMode val="edge"/>
          <c:x val="0.29274591688184726"/>
          <c:y val="0.22423168981983754"/>
          <c:w val="0.40690873155025664"/>
          <c:h val="0.53674987679115382"/>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3"/>
              <c:layout>
                <c:manualLayout>
                  <c:x val="-1.0527964670877714E-3"/>
                  <c:y val="2.205234762321376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Hoja3!$C$4:$C$7</c:f>
              <c:strCache>
                <c:ptCount val="4"/>
                <c:pt idx="0">
                  <c:v>Organico funcional-asuntos</c:v>
                </c:pt>
                <c:pt idx="1">
                  <c:v>Orgánico</c:v>
                </c:pt>
                <c:pt idx="2">
                  <c:v>Orgánico funcional</c:v>
                </c:pt>
                <c:pt idx="3">
                  <c:v>Funcional</c:v>
                </c:pt>
              </c:strCache>
            </c:strRef>
          </c:cat>
          <c:val>
            <c:numRef>
              <c:f>Hoja3!$E$4:$E$7</c:f>
              <c:numCache>
                <c:formatCode>0.0</c:formatCode>
                <c:ptCount val="4"/>
                <c:pt idx="0">
                  <c:v>55.963302752293579</c:v>
                </c:pt>
                <c:pt idx="1">
                  <c:v>23.853211009174313</c:v>
                </c:pt>
                <c:pt idx="2">
                  <c:v>17.431192660550458</c:v>
                </c:pt>
                <c:pt idx="3">
                  <c:v>0.91743119266055051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442698205234469"/>
          <c:y val="0.79390033511684799"/>
          <c:w val="0.77155548556430453"/>
          <c:h val="6.221581603033852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CR" sz="900" b="1">
                <a:latin typeface="Arial" pitchFamily="34" charset="0"/>
                <a:cs typeface="Arial" pitchFamily="34" charset="0"/>
              </a:rPr>
              <a:t>Gráfico 6</a:t>
            </a:r>
          </a:p>
          <a:p>
            <a:pPr>
              <a:defRPr sz="1400" b="0" i="0" u="none" strike="noStrike" kern="1200" spc="0" baseline="0">
                <a:solidFill>
                  <a:sysClr val="windowText" lastClr="000000"/>
                </a:solidFill>
                <a:latin typeface="+mn-lt"/>
                <a:ea typeface="+mn-ea"/>
                <a:cs typeface="+mn-cs"/>
              </a:defRPr>
            </a:pPr>
            <a:r>
              <a:rPr lang="es-CR" sz="900" b="1">
                <a:latin typeface="Arial" pitchFamily="34" charset="0"/>
                <a:cs typeface="Arial" pitchFamily="34" charset="0"/>
              </a:rPr>
              <a:t>Porcentaje del total del acervo documental descrito por</a:t>
            </a:r>
            <a:r>
              <a:rPr lang="es-CR" sz="900" b="1" baseline="0">
                <a:latin typeface="Arial" pitchFamily="34" charset="0"/>
                <a:cs typeface="Arial" pitchFamily="34" charset="0"/>
              </a:rPr>
              <a:t> las instituciones, periodo 2014-2015</a:t>
            </a:r>
            <a:endParaRPr lang="es-CR" sz="900" b="1">
              <a:latin typeface="Arial" pitchFamily="34" charset="0"/>
              <a:cs typeface="Arial" pitchFamily="34" charset="0"/>
            </a:endParaRPr>
          </a:p>
        </c:rich>
      </c:tx>
      <c:overlay val="0"/>
      <c:spPr>
        <a:noFill/>
        <a:ln>
          <a:noFill/>
        </a:ln>
        <a:effectLst/>
      </c:spPr>
    </c:title>
    <c:autoTitleDeleted val="0"/>
    <c:plotArea>
      <c:layout>
        <c:manualLayout>
          <c:layoutTarget val="inner"/>
          <c:xMode val="edge"/>
          <c:yMode val="edge"/>
          <c:x val="0.29924610710046629"/>
          <c:y val="0.26486803601032627"/>
          <c:w val="0.4113944402355284"/>
          <c:h val="0.61220183565613295"/>
        </c:manualLayout>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Hoja6!$C$4:$C$7</c:f>
              <c:strCache>
                <c:ptCount val="4"/>
                <c:pt idx="0">
                  <c:v>0%</c:v>
                </c:pt>
                <c:pt idx="1">
                  <c:v>Entre 1% y 49%</c:v>
                </c:pt>
                <c:pt idx="2">
                  <c:v>Entre 50% y 99%</c:v>
                </c:pt>
                <c:pt idx="3">
                  <c:v>100%</c:v>
                </c:pt>
              </c:strCache>
            </c:strRef>
          </c:cat>
          <c:val>
            <c:numRef>
              <c:f>Hoja6!$F$4:$F$7</c:f>
              <c:numCache>
                <c:formatCode>0.0</c:formatCode>
                <c:ptCount val="4"/>
                <c:pt idx="0">
                  <c:v>6.8376068376068382</c:v>
                </c:pt>
                <c:pt idx="1">
                  <c:v>16.239316239316238</c:v>
                </c:pt>
                <c:pt idx="2">
                  <c:v>55.555555555555557</c:v>
                </c:pt>
                <c:pt idx="3">
                  <c:v>21.367521367521366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a:solidFill>
                  <a:sysClr val="windowText" lastClr="000000"/>
                </a:solidFill>
                <a:latin typeface="+mn-lt"/>
                <a:ea typeface="+mn-ea"/>
                <a:cs typeface="+mn-cs"/>
              </a:defRPr>
            </a:pPr>
            <a:r>
              <a:rPr lang="es-CR" sz="900" b="1">
                <a:solidFill>
                  <a:sysClr val="windowText" lastClr="000000"/>
                </a:solidFill>
                <a:latin typeface="Arial" panose="020B0604020202020204" pitchFamily="34" charset="0"/>
                <a:ea typeface="+mn-ea"/>
                <a:cs typeface="Arial" panose="020B0604020202020204" pitchFamily="34" charset="0"/>
              </a:rPr>
              <a:t>Gráfico 7</a:t>
            </a:r>
          </a:p>
          <a:p>
            <a:pPr algn="ctr">
              <a:defRPr>
                <a:solidFill>
                  <a:sysClr val="windowText" lastClr="000000"/>
                </a:solidFill>
                <a:latin typeface="+mn-lt"/>
                <a:ea typeface="+mn-ea"/>
                <a:cs typeface="+mn-cs"/>
              </a:defRPr>
            </a:pPr>
            <a:r>
              <a:rPr lang="es-CR" sz="900" b="1">
                <a:solidFill>
                  <a:sysClr val="windowText" lastClr="000000"/>
                </a:solidFill>
                <a:latin typeface="Arial" panose="020B0604020202020204" pitchFamily="34" charset="0"/>
                <a:ea typeface="+mn-ea"/>
                <a:cs typeface="Arial" panose="020B0604020202020204" pitchFamily="34" charset="0"/>
              </a:rPr>
              <a:t>Existencia de tablas de plazos o valoraciones parciales de conservación de documentos</a:t>
            </a:r>
            <a:r>
              <a:rPr lang="es-CR" sz="900" b="1">
                <a:solidFill>
                  <a:sysClr val="windowText" lastClr="000000"/>
                </a:solidFill>
                <a:latin typeface="+mn-lt"/>
                <a:ea typeface="+mn-ea"/>
                <a:cs typeface="+mn-cs"/>
              </a:rPr>
              <a:t> </a:t>
            </a:r>
            <a:endParaRPr lang="es-CR" sz="900" b="1">
              <a:latin typeface="Arial" pitchFamily="34" charset="0"/>
              <a:cs typeface="Arial" pitchFamily="34" charset="0"/>
            </a:endParaRPr>
          </a:p>
        </c:rich>
      </c:tx>
      <c:overlay val="0"/>
      <c:spPr>
        <a:solidFill>
          <a:sysClr val="window" lastClr="FFFFFF"/>
        </a:solidFill>
        <a:ln w="12700" cap="flat" cmpd="sng" algn="ctr">
          <a:solidFill>
            <a:sysClr val="window" lastClr="FFFFFF"/>
          </a:solidFill>
          <a:prstDash val="solid"/>
          <a:miter lim="800000"/>
        </a:ln>
        <a:effectLst/>
      </c:spPr>
    </c:title>
    <c:autoTitleDeleted val="0"/>
    <c:plotArea>
      <c:layout>
        <c:manualLayout>
          <c:layoutTarget val="inner"/>
          <c:xMode val="edge"/>
          <c:yMode val="edge"/>
          <c:x val="5.3043688687850192E-2"/>
          <c:y val="0.25703069077761465"/>
          <c:w val="0.82299063680869677"/>
          <c:h val="0.64477736907828398"/>
        </c:manualLayout>
      </c:layout>
      <c:ofPieChart>
        <c:ofPieType val="bar"/>
        <c:varyColors val="1"/>
        <c:ser>
          <c:idx val="0"/>
          <c:order val="0"/>
          <c:dPt>
            <c:idx val="0"/>
            <c:bubble3D val="0"/>
            <c:spPr>
              <a:solidFill>
                <a:schemeClr val="accent2"/>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1"/>
              </a:solidFill>
              <a:ln w="19050">
                <a:solidFill>
                  <a:schemeClr val="lt1"/>
                </a:solidFill>
              </a:ln>
              <a:effectLst/>
            </c:spPr>
          </c:dPt>
          <c:dLbls>
            <c:dLbl>
              <c:idx val="0"/>
              <c:tx>
                <c:rich>
                  <a:bodyPr/>
                  <a:lstStyle/>
                  <a:p>
                    <a:r>
                      <a:rPr lang="en-US"/>
                      <a:t>No 27.7%</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Si 42.9%</a:t>
                    </a:r>
                    <a:endParaRPr lang="en-US" baseline="0"/>
                  </a:p>
                </c:rich>
              </c:tx>
              <c:dLblPos val="bestFi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No 11.8</a:t>
                    </a:r>
                    <a:r>
                      <a:rPr lang="en-US" baseline="0"/>
                      <a:t>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Parcialmente 12.6%</a:t>
                    </a:r>
                  </a:p>
                </c:rich>
              </c:tx>
              <c:dLblPos val="bestFit"/>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No responde</a:t>
                    </a:r>
                    <a:r>
                      <a:rPr lang="en-US" baseline="0"/>
                      <a:t> </a:t>
                    </a:r>
                    <a:r>
                      <a:rPr lang="en-US"/>
                      <a:t>5 %</a:t>
                    </a:r>
                    <a:endParaRPr lang="en-US" baseline="0"/>
                  </a:p>
                </c:rich>
              </c:tx>
              <c:dLblPos val="bestFit"/>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Si 70.6</a:t>
                    </a:r>
                    <a:r>
                      <a:rPr lang="en-US" baseline="0"/>
                      <a:t>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Hoja8!$E$11:$E$15</c:f>
              <c:strCache>
                <c:ptCount val="5"/>
                <c:pt idx="0">
                  <c:v>No</c:v>
                </c:pt>
                <c:pt idx="1">
                  <c:v>Si</c:v>
                </c:pt>
                <c:pt idx="2">
                  <c:v>Parcialmente</c:v>
                </c:pt>
                <c:pt idx="3">
                  <c:v>No</c:v>
                </c:pt>
                <c:pt idx="4">
                  <c:v>No sabe / no responde</c:v>
                </c:pt>
              </c:strCache>
            </c:strRef>
          </c:cat>
          <c:val>
            <c:numRef>
              <c:f>Hoja8!$G$11:$G$15</c:f>
              <c:numCache>
                <c:formatCode>0.0</c:formatCode>
                <c:ptCount val="5"/>
                <c:pt idx="0">
                  <c:v>27.731092436974791</c:v>
                </c:pt>
                <c:pt idx="1">
                  <c:v>42.857142857142854</c:v>
                </c:pt>
                <c:pt idx="2">
                  <c:v>12.605042016806722</c:v>
                </c:pt>
                <c:pt idx="3">
                  <c:v>11.764705882352942</c:v>
                </c:pt>
                <c:pt idx="4">
                  <c:v>5.0420168067226889</c:v>
                </c:pt>
              </c:numCache>
            </c:numRef>
          </c:val>
        </c:ser>
        <c:dLbls>
          <c:dLblPos val="bestFit"/>
          <c:showLegendKey val="0"/>
          <c:showVal val="1"/>
          <c:showCatName val="0"/>
          <c:showSerName val="0"/>
          <c:showPercent val="0"/>
          <c:showBubbleSize val="0"/>
          <c:showLeaderLines val="1"/>
        </c:dLbls>
        <c:gapWidth val="199"/>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sz="900" b="1">
                <a:latin typeface="Arial" pitchFamily="34" charset="0"/>
                <a:cs typeface="Arial" pitchFamily="34" charset="0"/>
              </a:rPr>
              <a:t>Gráfico 8</a:t>
            </a:r>
            <a:endParaRPr lang="es-CR" sz="900" b="1">
              <a:latin typeface="Arial" pitchFamily="34" charset="0"/>
              <a:cs typeface="Arial" pitchFamily="34" charset="0"/>
            </a:endParaRPr>
          </a:p>
          <a:p>
            <a:pPr>
              <a:defRPr sz="1400" b="0" i="0" u="none" strike="noStrike" kern="1200" spc="0" baseline="0">
                <a:solidFill>
                  <a:sysClr val="windowText" lastClr="000000"/>
                </a:solidFill>
                <a:latin typeface="+mn-lt"/>
                <a:ea typeface="+mn-ea"/>
                <a:cs typeface="+mn-cs"/>
              </a:defRPr>
            </a:pPr>
            <a:r>
              <a:rPr lang="es-ES" sz="900" b="1">
                <a:latin typeface="Arial" pitchFamily="34" charset="0"/>
                <a:cs typeface="Arial" pitchFamily="34" charset="0"/>
              </a:rPr>
              <a:t>Porcentajes de normalización en los servicios brindados por archivos centrales</a:t>
            </a:r>
            <a:endParaRPr lang="es-CR" sz="900" b="1">
              <a:latin typeface="Arial" pitchFamily="34" charset="0"/>
              <a:cs typeface="Arial" pitchFamily="34" charset="0"/>
            </a:endParaRPr>
          </a:p>
        </c:rich>
      </c:tx>
      <c:overlay val="0"/>
      <c:spPr>
        <a:noFill/>
        <a:ln>
          <a:noFill/>
        </a:ln>
        <a:effectLst/>
      </c:spPr>
    </c:title>
    <c:autoTitleDeleted val="0"/>
    <c:plotArea>
      <c:layout/>
      <c:barChart>
        <c:barDir val="col"/>
        <c:grouping val="clustered"/>
        <c:varyColors val="0"/>
        <c:ser>
          <c:idx val="0"/>
          <c:order val="0"/>
          <c:tx>
            <c:strRef>
              <c:f>Hoja9!$C$4</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Hoja9!$D$3:$F$3</c:f>
              <c:strCache>
                <c:ptCount val="3"/>
                <c:pt idx="0">
                  <c:v>Facilitacion Normalizada</c:v>
                </c:pt>
                <c:pt idx="1">
                  <c:v>Transferencia Normalizada</c:v>
                </c:pt>
                <c:pt idx="2">
                  <c:v>Capacitacion</c:v>
                </c:pt>
              </c:strCache>
            </c:strRef>
          </c:cat>
          <c:val>
            <c:numRef>
              <c:f>Hoja9!$D$4:$F$4</c:f>
              <c:numCache>
                <c:formatCode>0.0</c:formatCode>
                <c:ptCount val="3"/>
                <c:pt idx="0">
                  <c:v>85.714285714285708</c:v>
                </c:pt>
                <c:pt idx="1">
                  <c:v>92.436974789915965</c:v>
                </c:pt>
                <c:pt idx="2">
                  <c:v>84.87394957983193</c:v>
                </c:pt>
              </c:numCache>
            </c:numRef>
          </c:val>
        </c:ser>
        <c:ser>
          <c:idx val="1"/>
          <c:order val="1"/>
          <c:tx>
            <c:strRef>
              <c:f>Hoja9!$C$5</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Hoja9!$D$3:$F$3</c:f>
              <c:strCache>
                <c:ptCount val="3"/>
                <c:pt idx="0">
                  <c:v>Facilitacion Normalizada</c:v>
                </c:pt>
                <c:pt idx="1">
                  <c:v>Transferencia Normalizada</c:v>
                </c:pt>
                <c:pt idx="2">
                  <c:v>Capacitacion</c:v>
                </c:pt>
              </c:strCache>
            </c:strRef>
          </c:cat>
          <c:val>
            <c:numRef>
              <c:f>Hoja9!$D$5:$F$5</c:f>
              <c:numCache>
                <c:formatCode>0.0</c:formatCode>
                <c:ptCount val="3"/>
                <c:pt idx="0">
                  <c:v>14.285714285714286</c:v>
                </c:pt>
                <c:pt idx="1">
                  <c:v>6.7226890756302522</c:v>
                </c:pt>
                <c:pt idx="2">
                  <c:v>14.285714285714286</c:v>
                </c:pt>
              </c:numCache>
            </c:numRef>
          </c:val>
        </c:ser>
        <c:ser>
          <c:idx val="2"/>
          <c:order val="2"/>
          <c:tx>
            <c:strRef>
              <c:f>Hoja9!$C$6</c:f>
              <c:strCache>
                <c:ptCount val="1"/>
                <c:pt idx="0">
                  <c:v>No responde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Hoja9!$D$3:$F$3</c:f>
              <c:strCache>
                <c:ptCount val="3"/>
                <c:pt idx="0">
                  <c:v>Facilitacion Normalizada</c:v>
                </c:pt>
                <c:pt idx="1">
                  <c:v>Transferencia Normalizada</c:v>
                </c:pt>
                <c:pt idx="2">
                  <c:v>Capacitacion</c:v>
                </c:pt>
              </c:strCache>
            </c:strRef>
          </c:cat>
          <c:val>
            <c:numRef>
              <c:f>Hoja9!$D$6:$F$6</c:f>
              <c:numCache>
                <c:formatCode>0.0</c:formatCode>
                <c:ptCount val="3"/>
                <c:pt idx="0">
                  <c:v>0</c:v>
                </c:pt>
                <c:pt idx="1">
                  <c:v>0.84033613445378152</c:v>
                </c:pt>
                <c:pt idx="2">
                  <c:v>0.84033613445378152</c:v>
                </c:pt>
              </c:numCache>
            </c:numRef>
          </c:val>
        </c:ser>
        <c:dLbls>
          <c:dLblPos val="outEnd"/>
          <c:showLegendKey val="0"/>
          <c:showVal val="1"/>
          <c:showCatName val="0"/>
          <c:showSerName val="0"/>
          <c:showPercent val="0"/>
          <c:showBubbleSize val="0"/>
        </c:dLbls>
        <c:gapWidth val="219"/>
        <c:overlap val="-27"/>
        <c:axId val="-1983058368"/>
        <c:axId val="-1983057824"/>
      </c:barChart>
      <c:catAx>
        <c:axId val="-198305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983057824"/>
        <c:crosses val="autoZero"/>
        <c:auto val="1"/>
        <c:lblAlgn val="ctr"/>
        <c:lblOffset val="100"/>
        <c:noMultiLvlLbl val="0"/>
      </c:catAx>
      <c:valAx>
        <c:axId val="-1983057824"/>
        <c:scaling>
          <c:orientation val="minMax"/>
          <c:max val="100"/>
        </c:scaling>
        <c:delete val="1"/>
        <c:axPos val="l"/>
        <c:numFmt formatCode="0.0" sourceLinked="1"/>
        <c:majorTickMark val="none"/>
        <c:minorTickMark val="none"/>
        <c:tickLblPos val="nextTo"/>
        <c:crossAx val="-198305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mn-lt"/>
                <a:ea typeface="+mn-ea"/>
                <a:cs typeface="+mn-cs"/>
              </a:defRPr>
            </a:pPr>
            <a:r>
              <a:rPr lang="es-CR" sz="900" b="1">
                <a:latin typeface="Arial" pitchFamily="34" charset="0"/>
                <a:cs typeface="Arial" pitchFamily="34" charset="0"/>
              </a:rPr>
              <a:t>Gráfico 9</a:t>
            </a:r>
          </a:p>
          <a:p>
            <a:pPr algn="ctr">
              <a:defRPr sz="1400" b="0" i="0" u="none" strike="noStrike" kern="1200" spc="0" baseline="0">
                <a:solidFill>
                  <a:sysClr val="windowText" lastClr="000000"/>
                </a:solidFill>
                <a:latin typeface="+mn-lt"/>
                <a:ea typeface="+mn-ea"/>
                <a:cs typeface="+mn-cs"/>
              </a:defRPr>
            </a:pPr>
            <a:r>
              <a:rPr lang="es-CR" sz="900" b="1">
                <a:latin typeface="Arial" pitchFamily="34" charset="0"/>
                <a:cs typeface="Arial" pitchFamily="34" charset="0"/>
              </a:rPr>
              <a:t>Relación entre las transferencias normalizadas y su calendarización, período 2014-2015</a:t>
            </a:r>
          </a:p>
          <a:p>
            <a:pPr algn="ctr">
              <a:defRPr sz="1400" b="0" i="0" u="none" strike="noStrike" kern="1200" spc="0" baseline="0">
                <a:solidFill>
                  <a:sysClr val="windowText" lastClr="000000"/>
                </a:solidFill>
                <a:latin typeface="+mn-lt"/>
                <a:ea typeface="+mn-ea"/>
                <a:cs typeface="+mn-cs"/>
              </a:defRPr>
            </a:pPr>
            <a:r>
              <a:rPr lang="es-CR" sz="900" b="1">
                <a:latin typeface="Arial" pitchFamily="34" charset="0"/>
                <a:cs typeface="Arial" pitchFamily="34" charset="0"/>
              </a:rPr>
              <a:t>(porcentajes)</a:t>
            </a:r>
          </a:p>
        </c:rich>
      </c:tx>
      <c:overlay val="0"/>
      <c:spPr>
        <a:noFill/>
        <a:ln>
          <a:noFill/>
        </a:ln>
        <a:effectLst/>
      </c:spPr>
    </c:title>
    <c:autoTitleDeleted val="0"/>
    <c:plotArea>
      <c:layout/>
      <c:barChart>
        <c:barDir val="bar"/>
        <c:grouping val="percentStacked"/>
        <c:varyColors val="0"/>
        <c:ser>
          <c:idx val="0"/>
          <c:order val="0"/>
          <c:tx>
            <c:strRef>
              <c:f>Hoja9!$C$11</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Hoja9!$D$10:$E$10</c:f>
              <c:strCache>
                <c:ptCount val="2"/>
                <c:pt idx="0">
                  <c:v>Transferencia Normalizada</c:v>
                </c:pt>
                <c:pt idx="1">
                  <c:v>Utilización de caledarios de trasferencia</c:v>
                </c:pt>
              </c:strCache>
            </c:strRef>
          </c:cat>
          <c:val>
            <c:numRef>
              <c:f>Hoja9!$D$11:$E$11</c:f>
              <c:numCache>
                <c:formatCode>0.0</c:formatCode>
                <c:ptCount val="2"/>
                <c:pt idx="0">
                  <c:v>92.436974789915965</c:v>
                </c:pt>
                <c:pt idx="1">
                  <c:v>56.30252100840336</c:v>
                </c:pt>
              </c:numCache>
            </c:numRef>
          </c:val>
        </c:ser>
        <c:ser>
          <c:idx val="1"/>
          <c:order val="1"/>
          <c:tx>
            <c:strRef>
              <c:f>Hoja9!$C$12</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Hoja9!$D$10:$E$10</c:f>
              <c:strCache>
                <c:ptCount val="2"/>
                <c:pt idx="0">
                  <c:v>Transferencia Normalizada</c:v>
                </c:pt>
                <c:pt idx="1">
                  <c:v>Utilización de caledarios de trasferencia</c:v>
                </c:pt>
              </c:strCache>
            </c:strRef>
          </c:cat>
          <c:val>
            <c:numRef>
              <c:f>Hoja9!$D$12:$E$12</c:f>
              <c:numCache>
                <c:formatCode>0.0</c:formatCode>
                <c:ptCount val="2"/>
                <c:pt idx="0">
                  <c:v>6.7226890756302522</c:v>
                </c:pt>
                <c:pt idx="1">
                  <c:v>42.857142857142854</c:v>
                </c:pt>
              </c:numCache>
            </c:numRef>
          </c:val>
        </c:ser>
        <c:ser>
          <c:idx val="2"/>
          <c:order val="2"/>
          <c:tx>
            <c:strRef>
              <c:f>Hoja9!$C$13</c:f>
              <c:strCache>
                <c:ptCount val="1"/>
                <c:pt idx="0">
                  <c:v>No responde</c:v>
                </c:pt>
              </c:strCache>
            </c:strRef>
          </c:tx>
          <c:spPr>
            <a:solidFill>
              <a:schemeClr val="accent3"/>
            </a:solidFill>
            <a:ln>
              <a:noFill/>
            </a:ln>
            <a:effectLst/>
          </c:spPr>
          <c:invertIfNegative val="0"/>
          <c:dLbls>
            <c:delete val="1"/>
          </c:dLbls>
          <c:cat>
            <c:strRef>
              <c:f>Hoja9!$D$10:$E$10</c:f>
              <c:strCache>
                <c:ptCount val="2"/>
                <c:pt idx="0">
                  <c:v>Transferencia Normalizada</c:v>
                </c:pt>
                <c:pt idx="1">
                  <c:v>Utilización de caledarios de trasferencia</c:v>
                </c:pt>
              </c:strCache>
            </c:strRef>
          </c:cat>
          <c:val>
            <c:numRef>
              <c:f>Hoja9!$D$13:$E$13</c:f>
              <c:numCache>
                <c:formatCode>0.0</c:formatCode>
                <c:ptCount val="2"/>
                <c:pt idx="0">
                  <c:v>0.84033613445378152</c:v>
                </c:pt>
                <c:pt idx="1">
                  <c:v>0.84033613445378152</c:v>
                </c:pt>
              </c:numCache>
            </c:numRef>
          </c:val>
        </c:ser>
        <c:dLbls>
          <c:dLblPos val="ctr"/>
          <c:showLegendKey val="0"/>
          <c:showVal val="1"/>
          <c:showCatName val="0"/>
          <c:showSerName val="0"/>
          <c:showPercent val="0"/>
          <c:showBubbleSize val="0"/>
        </c:dLbls>
        <c:gapWidth val="182"/>
        <c:overlap val="100"/>
        <c:axId val="-2054584832"/>
        <c:axId val="-2054585920"/>
      </c:barChart>
      <c:catAx>
        <c:axId val="-20545848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2054585920"/>
        <c:crosses val="autoZero"/>
        <c:auto val="1"/>
        <c:lblAlgn val="ctr"/>
        <c:lblOffset val="100"/>
        <c:noMultiLvlLbl val="0"/>
      </c:catAx>
      <c:valAx>
        <c:axId val="-2054585920"/>
        <c:scaling>
          <c:orientation val="minMax"/>
        </c:scaling>
        <c:delete val="1"/>
        <c:axPos val="t"/>
        <c:numFmt formatCode="0%" sourceLinked="1"/>
        <c:majorTickMark val="none"/>
        <c:minorTickMark val="none"/>
        <c:tickLblPos val="nextTo"/>
        <c:crossAx val="-205458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0.51142</cdr:x>
      <cdr:y>0.20363</cdr:y>
    </cdr:from>
    <cdr:to>
      <cdr:x>0.99975</cdr:x>
      <cdr:y>0.35929</cdr:y>
    </cdr:to>
    <cdr:sp macro="" textlink="">
      <cdr:nvSpPr>
        <cdr:cNvPr id="2" name="CuadroTexto 1"/>
        <cdr:cNvSpPr txBox="1"/>
      </cdr:nvSpPr>
      <cdr:spPr>
        <a:xfrm xmlns:a="http://schemas.openxmlformats.org/drawingml/2006/main">
          <a:off x="3408198" y="661989"/>
          <a:ext cx="3268828" cy="5048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 sz="900" b="1">
              <a:latin typeface="Arial" pitchFamily="34" charset="0"/>
              <a:cs typeface="Arial" pitchFamily="34" charset="0"/>
            </a:rPr>
            <a:t>¿Los documentos electrónicos cuentan con firma digital validada?</a:t>
          </a:r>
        </a:p>
      </cdr:txBody>
    </cdr:sp>
  </cdr:relSizeAnchor>
</c:userShapes>
</file>

<file path=word/drawings/drawing2.xml><?xml version="1.0" encoding="utf-8"?>
<c:userShapes xmlns:c="http://schemas.openxmlformats.org/drawingml/2006/chart">
  <cdr:relSizeAnchor xmlns:cdr="http://schemas.openxmlformats.org/drawingml/2006/chartDrawing">
    <cdr:from>
      <cdr:x>0.03441</cdr:x>
      <cdr:y>0.89053</cdr:y>
    </cdr:from>
    <cdr:to>
      <cdr:x>0.98583</cdr:x>
      <cdr:y>0.96671</cdr:y>
    </cdr:to>
    <cdr:sp macro="" textlink="">
      <cdr:nvSpPr>
        <cdr:cNvPr id="2" name="CuadroTexto 1"/>
        <cdr:cNvSpPr txBox="1"/>
      </cdr:nvSpPr>
      <cdr:spPr>
        <a:xfrm xmlns:a="http://schemas.openxmlformats.org/drawingml/2006/main">
          <a:off x="161931" y="3176324"/>
          <a:ext cx="4476744" cy="2717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R" sz="800">
              <a:latin typeface="Arial" pitchFamily="34" charset="0"/>
              <a:cs typeface="Arial" pitchFamily="34" charset="0"/>
            </a:rPr>
            <a:t>Nota:</a:t>
          </a:r>
          <a:r>
            <a:rPr lang="es-CR" sz="800" baseline="0">
              <a:latin typeface="Arial" pitchFamily="34" charset="0"/>
              <a:cs typeface="Arial" pitchFamily="34" charset="0"/>
            </a:rPr>
            <a:t> no se incluye la categoria "otros" ni la categoria "no responde", ambas suman dos casos</a:t>
          </a:r>
          <a:endParaRPr lang="es-CR" sz="800">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0.51167</cdr:x>
      <cdr:y>0.2154</cdr:y>
    </cdr:from>
    <cdr:to>
      <cdr:x>1</cdr:x>
      <cdr:y>0.35461</cdr:y>
    </cdr:to>
    <cdr:sp macro="" textlink="">
      <cdr:nvSpPr>
        <cdr:cNvPr id="2" name="CuadroTexto 1"/>
        <cdr:cNvSpPr txBox="1"/>
      </cdr:nvSpPr>
      <cdr:spPr>
        <a:xfrm xmlns:a="http://schemas.openxmlformats.org/drawingml/2006/main">
          <a:off x="2922359" y="657482"/>
          <a:ext cx="2740571" cy="424931"/>
        </a:xfrm>
        <a:prstGeom xmlns:a="http://schemas.openxmlformats.org/drawingml/2006/main" prst="rect">
          <a:avLst/>
        </a:prstGeom>
      </cdr:spPr>
    </cdr:sp>
  </cdr:relSizeAnchor>
  <cdr:relSizeAnchor xmlns:cdr="http://schemas.openxmlformats.org/drawingml/2006/chartDrawing">
    <cdr:from>
      <cdr:x>0.51167</cdr:x>
      <cdr:y>0.2154</cdr:y>
    </cdr:from>
    <cdr:to>
      <cdr:x>1</cdr:x>
      <cdr:y>0.35461</cdr:y>
    </cdr:to>
    <cdr:sp macro="" textlink="">
      <cdr:nvSpPr>
        <cdr:cNvPr id="3" name="CuadroTexto 1"/>
        <cdr:cNvSpPr txBox="1"/>
      </cdr:nvSpPr>
      <cdr:spPr>
        <a:xfrm xmlns:a="http://schemas.openxmlformats.org/drawingml/2006/main">
          <a:off x="2922359" y="657482"/>
          <a:ext cx="2740571" cy="4249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s-CR" sz="800" b="1">
              <a:latin typeface="Arial" panose="020B0604020202020204" pitchFamily="34" charset="0"/>
              <a:cs typeface="Arial" panose="020B0604020202020204" pitchFamily="34" charset="0"/>
            </a:rPr>
            <a:t>¿Cuales</a:t>
          </a:r>
          <a:r>
            <a:rPr lang="es-CR" sz="800" b="1" baseline="0">
              <a:latin typeface="Arial" panose="020B0604020202020204" pitchFamily="34" charset="0"/>
              <a:cs typeface="Arial" panose="020B0604020202020204" pitchFamily="34" charset="0"/>
            </a:rPr>
            <a:t> tablas de plazos o valoraciones parciales se encuentran vigentes?</a:t>
          </a:r>
          <a:endParaRPr lang="es-CR" sz="8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F6C1-4CDE-4DA4-A677-E1914A36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7936</Words>
  <Characters>43648</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Mellany Otárola Saénz</dc:creator>
  <cp:lastModifiedBy>Estrellita Cabrera Ramírez</cp:lastModifiedBy>
  <cp:revision>2</cp:revision>
  <cp:lastPrinted>2016-03-02T20:20:00Z</cp:lastPrinted>
  <dcterms:created xsi:type="dcterms:W3CDTF">2017-04-26T18:13:00Z</dcterms:created>
  <dcterms:modified xsi:type="dcterms:W3CDTF">2017-04-26T18:13:00Z</dcterms:modified>
</cp:coreProperties>
</file>