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8D" w:rsidRDefault="009E38C9">
      <w:pPr>
        <w:widowControl w:val="0"/>
        <w:jc w:val="center"/>
        <w:rPr>
          <w:sz w:val="20"/>
          <w:szCs w:val="20"/>
        </w:rPr>
      </w:pPr>
      <w:r>
        <w:rPr>
          <w:noProof/>
          <w:lang w:val="es-CR" w:eastAsia="es-CR"/>
        </w:rPr>
        <w:drawing>
          <wp:inline distT="0" distB="0" distL="0" distR="0">
            <wp:extent cx="3298825" cy="981075"/>
            <wp:effectExtent l="0" t="0" r="0" b="0"/>
            <wp:docPr id="2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438D" w:rsidRDefault="0007438D">
      <w:pPr>
        <w:widowControl w:val="0"/>
        <w:jc w:val="center"/>
        <w:rPr>
          <w:sz w:val="20"/>
          <w:szCs w:val="20"/>
        </w:rPr>
      </w:pPr>
    </w:p>
    <w:p w:rsidR="0007438D" w:rsidRDefault="0007438D">
      <w:pPr>
        <w:widowControl w:val="0"/>
        <w:jc w:val="center"/>
        <w:rPr>
          <w:sz w:val="20"/>
          <w:szCs w:val="20"/>
        </w:rPr>
      </w:pPr>
    </w:p>
    <w:p w:rsidR="0007438D" w:rsidRDefault="0007438D">
      <w:pPr>
        <w:widowControl w:val="0"/>
        <w:jc w:val="center"/>
        <w:rPr>
          <w:sz w:val="20"/>
          <w:szCs w:val="20"/>
        </w:rPr>
      </w:pPr>
    </w:p>
    <w:p w:rsidR="0007438D" w:rsidRDefault="0007438D">
      <w:pPr>
        <w:widowControl w:val="0"/>
        <w:jc w:val="center"/>
        <w:rPr>
          <w:sz w:val="20"/>
          <w:szCs w:val="20"/>
        </w:rPr>
      </w:pPr>
    </w:p>
    <w:p w:rsidR="0007438D" w:rsidRDefault="0007438D">
      <w:pPr>
        <w:widowControl w:val="0"/>
        <w:jc w:val="center"/>
        <w:rPr>
          <w:sz w:val="20"/>
          <w:szCs w:val="20"/>
        </w:rPr>
      </w:pPr>
    </w:p>
    <w:p w:rsidR="0007438D" w:rsidRDefault="009E38C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DIRECCIÓN GENERAL DEL ARCHIVO NACIONAL</w:t>
      </w:r>
    </w:p>
    <w:p w:rsidR="0007438D" w:rsidRDefault="0007438D">
      <w:pPr>
        <w:widowControl w:val="0"/>
        <w:jc w:val="center"/>
        <w:rPr>
          <w:sz w:val="28"/>
          <w:szCs w:val="28"/>
        </w:rPr>
      </w:pPr>
    </w:p>
    <w:p w:rsidR="0007438D" w:rsidRDefault="0007438D">
      <w:pPr>
        <w:widowControl w:val="0"/>
        <w:jc w:val="center"/>
        <w:rPr>
          <w:sz w:val="28"/>
          <w:szCs w:val="28"/>
        </w:rPr>
      </w:pPr>
    </w:p>
    <w:p w:rsidR="0007438D" w:rsidRDefault="0007438D">
      <w:pPr>
        <w:widowControl w:val="0"/>
        <w:rPr>
          <w:sz w:val="28"/>
          <w:szCs w:val="28"/>
        </w:rPr>
      </w:pPr>
    </w:p>
    <w:p w:rsidR="0007438D" w:rsidRDefault="0007438D">
      <w:pPr>
        <w:widowControl w:val="0"/>
        <w:jc w:val="center"/>
        <w:rPr>
          <w:sz w:val="28"/>
          <w:szCs w:val="28"/>
        </w:rPr>
      </w:pPr>
    </w:p>
    <w:p w:rsidR="0007438D" w:rsidRDefault="0007438D">
      <w:pPr>
        <w:widowControl w:val="0"/>
        <w:jc w:val="center"/>
        <w:rPr>
          <w:sz w:val="28"/>
          <w:szCs w:val="28"/>
        </w:rPr>
      </w:pPr>
    </w:p>
    <w:p w:rsidR="0007438D" w:rsidRDefault="009E38C9">
      <w:pPr>
        <w:widowControl w:val="0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CUADRO DE CLASIFICACIÓN UNIDAD DE ARCHIVO INTERMEDIO</w:t>
      </w:r>
    </w:p>
    <w:p w:rsidR="0007438D" w:rsidRDefault="0007438D">
      <w:pPr>
        <w:widowControl w:val="0"/>
        <w:jc w:val="center"/>
        <w:rPr>
          <w:sz w:val="28"/>
          <w:szCs w:val="28"/>
        </w:rPr>
      </w:pPr>
    </w:p>
    <w:p w:rsidR="0007438D" w:rsidRDefault="0007438D">
      <w:pPr>
        <w:widowControl w:val="0"/>
        <w:jc w:val="center"/>
        <w:rPr>
          <w:sz w:val="28"/>
          <w:szCs w:val="28"/>
        </w:rPr>
      </w:pPr>
    </w:p>
    <w:p w:rsidR="0007438D" w:rsidRDefault="0007438D">
      <w:pPr>
        <w:widowControl w:val="0"/>
        <w:jc w:val="center"/>
        <w:rPr>
          <w:sz w:val="28"/>
          <w:szCs w:val="28"/>
        </w:rPr>
      </w:pPr>
    </w:p>
    <w:p w:rsidR="0007438D" w:rsidRDefault="009E38C9">
      <w:pPr>
        <w:widowControl w:val="0"/>
        <w:jc w:val="center"/>
        <w:rPr>
          <w:sz w:val="28"/>
          <w:szCs w:val="28"/>
        </w:rPr>
        <w:sectPr w:rsidR="0007438D">
          <w:headerReference w:type="default" r:id="rId9"/>
          <w:footerReference w:type="default" r:id="rId10"/>
          <w:footerReference w:type="first" r:id="rId11"/>
          <w:pgSz w:w="15842" w:h="12242" w:orient="landscape"/>
          <w:pgMar w:top="1701" w:right="1792" w:bottom="1701" w:left="1418" w:header="709" w:footer="709" w:gutter="0"/>
          <w:pgNumType w:start="1"/>
          <w:cols w:space="720"/>
          <w:titlePg/>
        </w:sectPr>
      </w:pPr>
      <w:r>
        <w:rPr>
          <w:sz w:val="28"/>
          <w:szCs w:val="28"/>
        </w:rPr>
        <w:t>JUNIO 2022</w:t>
      </w:r>
    </w:p>
    <w:p w:rsidR="0007438D" w:rsidRDefault="009E38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PODER EJECUTIVO</w:t>
      </w:r>
    </w:p>
    <w:p w:rsidR="0007438D" w:rsidRDefault="0007438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tbl>
      <w:tblPr>
        <w:tblStyle w:val="a"/>
        <w:tblW w:w="15309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2693"/>
        <w:gridCol w:w="2716"/>
        <w:gridCol w:w="3096"/>
        <w:gridCol w:w="2126"/>
        <w:gridCol w:w="2126"/>
      </w:tblGrid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Presidencia de la República (PREP)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Presidente (DPRES)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15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 la Primera Vicepresidencia (D1VPRE)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309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24D90" w:rsidRPr="00765EE0" w:rsidRDefault="009E38C9">
            <w:r w:rsidRPr="00765EE0">
              <w:t xml:space="preserve">Consejo Presidencial Economía Social </w:t>
            </w:r>
            <w:proofErr w:type="spellStart"/>
            <w:r w:rsidRPr="00765EE0">
              <w:t>Solidarista</w:t>
            </w:r>
            <w:proofErr w:type="spellEnd"/>
            <w:r w:rsidR="00E24D90" w:rsidRPr="00765EE0">
              <w:t xml:space="preserve"> (CPESS):</w:t>
            </w:r>
          </w:p>
          <w:p w:rsidR="0007438D" w:rsidRPr="00765EE0" w:rsidRDefault="009E38C9">
            <w:r w:rsidRPr="00765EE0">
              <w:t>función del llamado anteriormente Consejo Presidencial Económico (CPE) o</w:t>
            </w:r>
          </w:p>
          <w:p w:rsidR="0007438D" w:rsidRPr="00765EE0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5EE0">
              <w:t>Consejo Económico (CONECON) y del llamado anteriormente Consejo Presidencial Social (CPS) o Consejo Social (CONSOC)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Pr="00765EE0" w:rsidRDefault="009E38C9">
            <w:r w:rsidRPr="00765EE0">
              <w:t>-Correspondencia* (COR)</w:t>
            </w:r>
          </w:p>
          <w:p w:rsidR="0007438D" w:rsidRPr="00765EE0" w:rsidRDefault="009E38C9">
            <w:r w:rsidRPr="00765EE0">
              <w:t>-Actas (ACT)</w:t>
            </w:r>
          </w:p>
          <w:p w:rsidR="0007438D" w:rsidRPr="00321332" w:rsidRDefault="009E38C9">
            <w:r w:rsidRPr="00765EE0">
              <w:t>-Expedientes de actas (EXPACT)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754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Consejo Presidencial de Competitividad (CPC)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-Actas (ACT)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actas (EXPACT)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15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Consejo Presidencial de Competitividad e Innovación (CPCI)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-Actas (ACT)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actas (EXPACT)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68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 la Segunda Vicepresidencia (D2VPRE)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996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Consejo Presidencial de Innovación y Talento Humano (CPITH)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-Actas (ACT)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actas (EXPACT)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597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 la Primera Dama (D1DAM)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1458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Oficina de Gestión Documental (OGD) anteriormente Oficina de Apoyo al Presidente (OFIAPRES)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 Correspondencia (COR)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-Solicitudes de Ayuda (SOAYU)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96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Pr="00765EE0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5EE0">
              <w:t>Consejo de Gobierno (CONGOB)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Pr="00765EE0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Pr="00765EE0" w:rsidRDefault="009E38C9">
            <w:r w:rsidRPr="00765EE0">
              <w:t>-Expedientes de Procesos Administrativos (EXPPROADM)</w:t>
            </w:r>
          </w:p>
          <w:p w:rsidR="0007438D" w:rsidRPr="00765EE0" w:rsidRDefault="009E38C9">
            <w:r w:rsidRPr="00765EE0">
              <w:t>-Actas (ACT)</w:t>
            </w:r>
          </w:p>
          <w:p w:rsidR="0007438D" w:rsidRPr="00321332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5EE0">
              <w:t>-Expedientes de actas (EXPACT)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96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Comisión de Ética (COET)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Pr="00321332" w:rsidRDefault="009E38C9">
            <w:r w:rsidRPr="00321332">
              <w:t>-Correspondencia * (COR)</w:t>
            </w:r>
          </w:p>
          <w:p w:rsidR="0007438D" w:rsidRPr="00321332" w:rsidRDefault="009E38C9">
            <w:r w:rsidRPr="00321332">
              <w:t>-Expedientes de Procesos Administrativos (EXPPROADM)</w:t>
            </w:r>
          </w:p>
          <w:p w:rsidR="0007438D" w:rsidRPr="00321332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21332">
              <w:t>-Actas (ACT)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Coordinación Interinstitucional (MCI)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</w:t>
            </w:r>
            <w:r w:rsidR="00321332">
              <w:t xml:space="preserve">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Información y Comunicación (MINFOCOM)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lastRenderedPageBreak/>
              <w:t>Ministerio de la Presidencia (MPR)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Dirección de Leyes y Decretos (DIRLYDECRE)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-Decretos Ejecutivos (DECREJEC)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-Acuerdos (ACU)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85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Dirección General para la Protección y Ayuda al Refugiado (DIGEPARE)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15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Dirección General (DG)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 Correspondencia * (COR)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 Planes Operativos (PAO)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Legal (DEPLEG)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-Informes (INFO)</w:t>
            </w:r>
          </w:p>
          <w:p w:rsidR="0007438D" w:rsidRDefault="009E38C9">
            <w:r>
              <w:t>-Convenios (CONVE)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-Contratos (CONTRA)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Investigación y Proyectos (DEPINPROY)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-Correspondencia * (COR)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proyectos (EXPPROY)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6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de Protección (DEPROT)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69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Financiero (DEPFIN)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-Libros mayores (LMAY)</w:t>
            </w:r>
          </w:p>
          <w:p w:rsidR="0007438D" w:rsidRDefault="009E38C9">
            <w:r>
              <w:t>-Libros de diario (LDIA)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-Estados financieros (ESTFIN)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Comité de Crédito (COCRED)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-Actas (ACT)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lastRenderedPageBreak/>
              <w:t>Ministerio de Comercio Exterior (COMEX)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Trabajo y Seguridad Social (MTSS)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15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del Área Social (DVMASOC)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68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de Trabajo (DVMTRA)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694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Despacho del Viceministro del Área Laboral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(DVMALAB)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Correspondencia *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69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Ambiente, Energía y Telecomunicaciones (MINAET) anteriormente Ministerio de Ambiente y Energía (MINAE)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Seguridad Pública (MSP)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Agricultura y Ganadería (MAG)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Gobernación y Policía (MGP)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del Área Social y Administrativa (DVMASOCADM)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87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de Seguridad Comunitaria (DVMSC)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Dirección Nacional de Desarrollo Comunal (DINADECO)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-Correspondencia * (COR)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Asociaciones (REGASOC)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15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Cultura y Juventud (Ministerio de Cultura, Juventud y Deportes MCJD) (MCJ)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549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de Juventud (DVMJ)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Vivienda y Asentamientos Humanos (MIVAH)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Planificación Nacional y Política Económica (MIDEPLAN)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lastRenderedPageBreak/>
              <w:t>Ministerio de Salud (MS)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Relaciones Exteriores y Culto (MRREE)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Pr="00765EE0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5EE0">
              <w:t>Despacho del Viceministro para Asuntos Bi</w:t>
            </w:r>
            <w:r w:rsidR="00E24D90" w:rsidRPr="00765EE0">
              <w:t>laterales y de Cooperación (DVMABC)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Pr="00765EE0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5EE0"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15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lastRenderedPageBreak/>
              <w:t>Ministerio de Justicia y Paz (MJP) anteriormente Ministerio de Justicia y Gracia (MJG)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Desarrollo Rural (MDR)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Ministerio de Coordinación Regional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(MCR)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lastRenderedPageBreak/>
              <w:t>Ministerio de Gobernación, Policía y Seguridad Pública (MGPSP)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15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de Seguridad Pública (DVMSP)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9E38C9">
        <w:trPr>
          <w:trHeight w:val="796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de Gobernación y Policía (DVMGP)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Obras Públicas y Transportes (MOPT)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83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de Obras Públicas (DVMOP)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19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de Transportes (DVMTP)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Transportes Metropolitanos S.A (TRANSMESA)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346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Junta Directiva (JTADI)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-Actas (ACT)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Junta Liquidadora (JTALIQ)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actas (EXPACT)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Secretaría Ejecutiva (SECEJEC)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-Correspondencia * (COR)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administrativos (EXPADM)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Legal (DEPLEG)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-Expedientes de concesionarios (EXPCONCE)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judiciales (EXPJU)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Administrativo (DEPADM)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-Expedientes de transportistas (EXPTRANS)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Recursos Humanos (DEPRRHH)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personal (EXPPER)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de Contabilidad (DEPCONTA)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-Estados financieros (ESTFIN)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Hacienda (MH)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8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de Ingresos (DVMING)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55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de Egresos (DVMEG)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Economía, Industria y Comercio (MEIC)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Educación Pública (MEP)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8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Académico (DVMAC)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8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Administrativo (DVMADM)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69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Ciencia y Tecnología (MICIT) Ministerio de Ciencia, Tecnología y Telecomunicaciones (MICITT)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Viceministro (DVM)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la Condición de la Mujer (MCM)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lastRenderedPageBreak/>
              <w:t>Ministerio de Competitividad y Mejora Regulatoria (MCOMER)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Turismo (MTUR)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 Descentralización y Desarrollo Local (MDDL)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Ministerio del Deporte (MDEPOR)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r>
              <w:t>Ministerio de Desarrollo Humano e Inclusión Social</w:t>
            </w:r>
          </w:p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Anteriormente Ministerio de Bienestar Social y Familia (MBSF)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24D90" w:rsidRPr="00765EE0" w:rsidRDefault="009E38C9">
            <w:r w:rsidRPr="00765EE0">
              <w:t>Minister</w:t>
            </w:r>
            <w:r w:rsidR="00E24D90" w:rsidRPr="00765EE0">
              <w:t>io de la Niñez y la Adolescencia</w:t>
            </w:r>
          </w:p>
          <w:p w:rsidR="0007438D" w:rsidRPr="00765EE0" w:rsidRDefault="00E24D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5EE0">
              <w:t xml:space="preserve"> (MNA)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Pr="00765EE0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Pr="00765EE0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5EE0">
              <w:t>Despacho del Ministro (DM)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Pr="00765EE0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Pr="00765EE0" w:rsidRDefault="009E38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5EE0"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Pr="00765EE0" w:rsidRDefault="000743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07438D" w:rsidRDefault="0007438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7438D" w:rsidRDefault="0007438D">
      <w:pPr>
        <w:jc w:val="center"/>
        <w:rPr>
          <w:sz w:val="28"/>
          <w:szCs w:val="28"/>
        </w:rPr>
      </w:pPr>
    </w:p>
    <w:p w:rsidR="0007438D" w:rsidRDefault="0007438D">
      <w:pPr>
        <w:jc w:val="center"/>
        <w:rPr>
          <w:sz w:val="28"/>
          <w:szCs w:val="28"/>
        </w:rPr>
      </w:pPr>
    </w:p>
    <w:p w:rsidR="0007438D" w:rsidRDefault="0007438D">
      <w:pPr>
        <w:jc w:val="center"/>
        <w:rPr>
          <w:sz w:val="28"/>
          <w:szCs w:val="28"/>
        </w:rPr>
      </w:pPr>
    </w:p>
    <w:p w:rsidR="0007438D" w:rsidRDefault="009E38C9">
      <w:pPr>
        <w:rPr>
          <w:sz w:val="28"/>
          <w:szCs w:val="28"/>
        </w:rPr>
      </w:pPr>
      <w:r>
        <w:br w:type="page"/>
      </w:r>
    </w:p>
    <w:p w:rsidR="0007438D" w:rsidRDefault="009E38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PODER JUDICIAL</w:t>
      </w:r>
    </w:p>
    <w:p w:rsidR="0007438D" w:rsidRDefault="0007438D">
      <w:pPr>
        <w:rPr>
          <w:sz w:val="28"/>
          <w:szCs w:val="28"/>
        </w:rPr>
      </w:pPr>
    </w:p>
    <w:tbl>
      <w:tblPr>
        <w:tblStyle w:val="a0"/>
        <w:tblW w:w="15309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2693"/>
        <w:gridCol w:w="2716"/>
        <w:gridCol w:w="3096"/>
        <w:gridCol w:w="2126"/>
        <w:gridCol w:w="2126"/>
      </w:tblGrid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Corte Suprema de Justicia (CSJ)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Organismo de Investigación Judicial (OIJ)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Delitos contra la Propiedad (SCDELPRO)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Denuncias (EXPDEN)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9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Psiquiatría y Psicología Forense (SCPSFORE)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-Dictámenes Psiquiátricos (DICPSIQ)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Juzgado de Familia de Desamparados (JFAMDESAM)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Violencia Doméstica (EXPVIODO)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Juzgado de Familia de </w:t>
            </w:r>
            <w:proofErr w:type="spellStart"/>
            <w:r>
              <w:t>Pococí</w:t>
            </w:r>
            <w:proofErr w:type="spellEnd"/>
            <w:r>
              <w:t xml:space="preserve"> (JFAMPOCO)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Violencia Doméstica (EXPVIODO)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923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Juzgado de Violencia Doméstica de Puntarenas (JVIODOPU)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Violencia Doméstica (EXPVIODO)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Juzgado de Violencia Doméstica de San José (JVIODOSJ)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Violencia Doméstica (EXPVIODO)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Juzgado de Violencia Doméstica de Limón (JVIODOLI)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Violencia Doméstica (EXPVIODO)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15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Juzgado de Violencia Doméstica de Heredia (JVIODOHE)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Violencia Doméstica (EXPVIODO)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7438D" w:rsidRDefault="0007438D">
      <w:pPr>
        <w:rPr>
          <w:sz w:val="28"/>
          <w:szCs w:val="28"/>
        </w:rPr>
      </w:pPr>
    </w:p>
    <w:p w:rsidR="0007438D" w:rsidRDefault="009E38C9">
      <w:pPr>
        <w:pStyle w:val="Ttulo2"/>
        <w:tabs>
          <w:tab w:val="left" w:pos="1947"/>
        </w:tabs>
        <w:rPr>
          <w:rFonts w:ascii="Times New Roman" w:hAnsi="Times New Roman" w:cs="Times New Roman"/>
          <w:b w:val="0"/>
          <w:i w:val="0"/>
        </w:rPr>
      </w:pPr>
      <w:r>
        <w:br w:type="page"/>
      </w:r>
    </w:p>
    <w:p w:rsidR="0007438D" w:rsidRDefault="009E38C9">
      <w:pPr>
        <w:pStyle w:val="Ttulo2"/>
        <w:tabs>
          <w:tab w:val="left" w:pos="1947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000000"/>
        </w:rPr>
        <w:lastRenderedPageBreak/>
        <w:t>EMPRESAS PÚBLICAS FINANCIERAS</w:t>
      </w:r>
    </w:p>
    <w:p w:rsidR="0007438D" w:rsidRDefault="0007438D">
      <w:pPr>
        <w:tabs>
          <w:tab w:val="left" w:pos="1947"/>
        </w:tabs>
      </w:pPr>
    </w:p>
    <w:tbl>
      <w:tblPr>
        <w:tblStyle w:val="a1"/>
        <w:tblW w:w="15309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2693"/>
        <w:gridCol w:w="2716"/>
        <w:gridCol w:w="3096"/>
        <w:gridCol w:w="2126"/>
        <w:gridCol w:w="2126"/>
      </w:tblGrid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Corporación Costarricense de Desarrollo (CODESA)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Consejo de Administración (CONADM)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-Actas (ACT)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actas (EXPACT)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Presidencia Ejecutiva (PREJEC)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15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Legal (DEPLEG)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-Escrituras (ESCRI)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-Actas de subsidiarias (ACTSUB)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Proveeduría (PROVE)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-Licitaciones (LICI)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-Órdenes de compra (OC)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Asesoría Financiera (ASEFIN)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de Crédito (DEPCRED)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crédito (EXPCRED)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91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de Recursos Humanos (DEPRRHH)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personal (EXPPER)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69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de Contabilidad y Presupuesto (DEPCONTA)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-Libros Mayores (LMAY)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-Libros de Diario (LDIA)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-Estados financieros (ESTFIN)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de Tesorería (DEPTESO)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-Cheques (CK)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Corporación Nacional de Valores (CONAVA)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-Planillas (PLA)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-Listados para acciones de personal (LACCPER)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-Acciones de personal (ACCPER)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 de revisión de cuentas para prestaciones (EXPRCP)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Corporación Nacional S.A (MINASA)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69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Junta Administrativa (JTADM)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Escrituras (ESCRI)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Expedientes de traspaso de bienes (EXPTB)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Libros de Banco (LBAN)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Banco Anglo Costarricense (BAC)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Junta Directiva (JTADI)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-Actas (ACT)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actas (EXPACT)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de Recursos Humanos (DEPRRHH)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-Correspondencia * (COR)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-Expedientes de personal prontuario (EXPERPRO)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Gerencia (G)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69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de Contabilidad (DEPCONTA)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-Libros Mayores (LMAY)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-Libros de Diario (LDIA)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-Estados de cuenta (ESTCTA)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Comisión de Crédito (COCRED)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-Actas (ACT)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Barranca (AGEBARRA)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Calle Blancos (AGECABLA)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Agencia de </w:t>
            </w:r>
            <w:proofErr w:type="spellStart"/>
            <w:r>
              <w:t>Cariari</w:t>
            </w:r>
            <w:proofErr w:type="spellEnd"/>
            <w:r>
              <w:t xml:space="preserve"> (AGECARI)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en el Centro Colón (AGECECOL)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Desamparados (AGEDESAM)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del Pacífico (AGEPACI)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Escazú (AGEES)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Guadalupe (AGEGUADA)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Guápiles (AGEGUAPI)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Agencia Ciudad </w:t>
            </w:r>
            <w:proofErr w:type="spellStart"/>
            <w:r>
              <w:t>Neilly</w:t>
            </w:r>
            <w:proofErr w:type="spellEnd"/>
            <w:r>
              <w:t xml:space="preserve"> (AGENEI)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-Actas (ACT)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en la Caja Costarricense del Seguro Social (AGECCSS)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en La Cañada (AGELACA)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en La Castellana (AGECASTE)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en La Corte Suprema de Justicia (AGECSJ)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Agencia en La </w:t>
            </w:r>
            <w:proofErr w:type="spellStart"/>
            <w:r>
              <w:t>Uruca</w:t>
            </w:r>
            <w:proofErr w:type="spellEnd"/>
            <w:r>
              <w:t xml:space="preserve"> (AGELAURU)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en el Mercado Borbón (AGEMEBOR)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Agencia en </w:t>
            </w:r>
            <w:proofErr w:type="spellStart"/>
            <w:r>
              <w:t>Multiplaza</w:t>
            </w:r>
            <w:proofErr w:type="spellEnd"/>
            <w:r>
              <w:t xml:space="preserve"> (AGEMULTI)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Nicoya (AGENICO)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Palmar Norte (AGEPANOR)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en el Paseo Colón (AGEPACOL)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Paso Canoas (AGEPCANO)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Pavas (AGEPAVAS)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en Plaza del Sol (AGEPSOL)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Agencia de </w:t>
            </w:r>
            <w:proofErr w:type="spellStart"/>
            <w:r>
              <w:t>Rohrmoser</w:t>
            </w:r>
            <w:proofErr w:type="spellEnd"/>
            <w:r>
              <w:t xml:space="preserve"> (AGEROHM)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en Sabalito (AGESABA)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en San Francisco de Dos Ríos (AGESFDR)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San Pedro (AGESPDR)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San Vito (AGESANVI)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en Sarapiquí (AGESARA)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Agencia en </w:t>
            </w:r>
            <w:proofErr w:type="spellStart"/>
            <w:r>
              <w:t>Sarchí</w:t>
            </w:r>
            <w:proofErr w:type="spellEnd"/>
            <w:r>
              <w:t xml:space="preserve"> (AGESARC)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 xml:space="preserve">Agencia de </w:t>
            </w:r>
            <w:proofErr w:type="spellStart"/>
            <w:r>
              <w:t>Tarrazú</w:t>
            </w:r>
            <w:proofErr w:type="spellEnd"/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(AGETARRA)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Agencia de Tibás (AGETIBAS)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142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Agencia de </w:t>
            </w:r>
            <w:proofErr w:type="spellStart"/>
            <w:r>
              <w:t>Upala</w:t>
            </w:r>
            <w:proofErr w:type="spellEnd"/>
            <w:r>
              <w:t xml:space="preserve"> (AGEUPAL)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Firmas (REGFIR)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588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Almacén de Depósito Fiscal (ALMFIS)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Área General Administrativa (ARGRALAD)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40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Asociación de Empleados (ASOEMPL)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-Actas (ACT)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Banca Institucional (BCAINST)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34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Bóveda (BOVE)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Cajas Auxiliares de Caldera (CJAUXCAL)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-Comprobantes del Deber y Haber (COMPDH)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Cajas Auxiliares en Las Cañas (CJAUXCAÑA)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-Comprobantes del Deber y Haber (COMPDH)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Cajas Auxiliares en Zapote (CJAUXZAP)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-Comprobantes del Deber y Haber (COMPDH)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289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Comercial (DEPCOM)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de Ahorros (DEPAHO)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43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Dirección de Desarrollo Humano (DIRDEHU)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89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Dirección de Formalización y Custodia (DIRFORCU)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Dirección de Mercadeo (DIRMER)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Fondo de Beneficio Médico Familiar (FONBEMEFAM)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-Libros contables (LCONTA)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Fondo de Garantías y Jubilaciones (FONGABJU)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-Libros contables (LCONTA)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567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Fondo de Retiro del Personal (FONREPE)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-Libros contables (LCONTA)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1186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Junta Administradora de los Fondos del Seguro Familiar (JTAADFONSFAM)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-Actas (ACT)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Oficinas Centrales (OFICTL)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Administrativa (SCADM)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8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Administración de Bienes (SCADMBI)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540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Análisis de Crédito (SCANCRED)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Análisis y Planeamiento (SCANPLAN)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34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Archivo (SCARCHI)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29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Asesoría de Empresas (SCASEMPR)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Banca Electrónica (SCBCAELE)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Banca Empresarial (SCBCAEMP)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Bolsa Electrónica (SCBOLELE)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Cajas (SCCAJAS)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Canje (SCCANJE)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54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Capitalización (SCCAPI)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-Libros contables (LCONTA)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11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Cobranzas (SCCOBRAN)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188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Cobros (SCCOBROS)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Cómputo (SCCOMPU)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Control de Empresas (SCCTREMP)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Crédito (SCCRED)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Delitos contra la Propiedad (SCDELPRO)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55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Estudios Económicos (SCESTECO)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477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Extranjera (SCEXTRAN)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543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Fideicomisos (SCFIDEI)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23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Financiación Pesquera (SCFINPES)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Financiera (SCFIN)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Internacional (SCINTER)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Mantenimiento (SCMANTE)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540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Mecanizada (SCMECA)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0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Moneda Extranjera (SCMOEXTR)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196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Planificación Financiera (SCPLAFIN)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24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Préstamos (SCPRESTA)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Presupuesto (SCPRESU)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549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Proveeduría (SCPROVE)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91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Psiquiatría y Psicología Forense (SCPSFORE)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Puesto de Bolsa (SCPUBOL)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682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de Servicios Generales (SCSERGRAL)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337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Sección Legal (SCLEG)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Secretaría de Gerencia (SECG)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Secretaria General (SECGRAL)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Sub Gerencia de Operaciones (SUBGOPER)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Sub Gerencia Financiera (SUBGFIN)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Sucursales (SUC)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-Expedientes de crédito (EXPCRED)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-Registro de Ahorros (REGAHO)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Pago de Créditos (REGPCRED)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Sucursal de Alajuela (SUCAL)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-Expedientes de crédito (EXPCRED)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-Registro de Ahorros (REGAHO)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Pago de Créditos (REGPCRED)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Sucursal de Cartago (SUCCA)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-Expedientes de crédito (EXPCRED)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-Registro de Ahorros (REGAHO)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Pago de Créditos (REGPCRED)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Sucursal de Grecia (SUCGRE)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-Expedientes de crédito (EXPCRED)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-Registro de Ahorros (REGAHO)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Pago de Créditos (REGPCRED)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Sucursal de Heredia (SUCHE)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-Expedientes de crédito (EXPCRED)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-Registro de Ahorros (REGAHO)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Pago de Créditos (REGPCRED)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Sucursal de La Cruz (SUCLCRU)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-Libros contables (LCONTA)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Sucursal de Liberia (SUCLIB)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-Expedientes de crédito (EXPCRED)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-Registro de Ahorros (REGAHO)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Pago de Créditos (REGPCRED)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Sucursal de Limón (SUCLI)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-Expedientes de crédito (EXPCRED)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-Registro de Ahorros (REGAHO)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Pago de Créditos (REGPCRED)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Sucursal de Puntarenas (SUCPU)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-Expedientes de crédito (EXPCRED)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-Registro de Ahorros (REGAHO)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Pago de Créditos (REGPCRED)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Sucursal de San Carlos (SUCSCAR)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-Expedientes de crédito (EXPCRED)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-Registro de Ahorros (REGAHO)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Pago de Créditos (REGPCRED)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Sucursal de San Isidro del General (SUCSIDRG)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-Expedientes de crédito (EXPCRED)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-Registro de Ahorros (REGAHO)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Pago de Créditos (REGPCRED)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Sucursal de Santa Cruz (SUCSCRU)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-Expedientes de crédito (EXPCRED)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-Registro de Ahorros (REGAHO)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Pago de Créditos (REGPCRED)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277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Sucursal de </w:t>
            </w:r>
            <w:proofErr w:type="spellStart"/>
            <w:r>
              <w:t>Tilarán</w:t>
            </w:r>
            <w:proofErr w:type="spellEnd"/>
            <w:r>
              <w:t xml:space="preserve"> (SUCTILA)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</w:pPr>
            <w:r>
              <w:t>-Expedientes de crédito (EXPCRED)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-Comprobantes del Deber y Haber (COMPDH)</w:t>
            </w:r>
          </w:p>
          <w:p w:rsidR="0007438D" w:rsidRDefault="009E38C9">
            <w:pPr>
              <w:tabs>
                <w:tab w:val="left" w:pos="1947"/>
              </w:tabs>
            </w:pPr>
            <w:r>
              <w:t>-Registro de Ahorros (REGAHO)</w:t>
            </w:r>
          </w:p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-Registro de Pago de Créditos (REGPCRED)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509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Unidad de Captación de Recursos (UNCAPREC)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E360B6">
        <w:trPr>
          <w:trHeight w:val="433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Unidad de Exportaciones (UNEXPOR)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Unidad Receptora de Pagos (UNRECPA)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AVC Valores (AVC)</w:t>
            </w: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88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lastRenderedPageBreak/>
              <w:t>Junta Liquidadora del Banco Anglo Costarricense (JULIBAC)</w:t>
            </w: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Junta Directiva (JTADI)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-Correspondencia * (COR)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438D" w:rsidTr="00805597">
        <w:trPr>
          <w:trHeight w:val="615"/>
        </w:trPr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Departamento de Contabilidad (DEPCONTA)</w:t>
            </w:r>
          </w:p>
        </w:tc>
        <w:tc>
          <w:tcPr>
            <w:tcW w:w="30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9E38C9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>-Estados financieros (ESTFIN)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438D" w:rsidRDefault="0007438D">
            <w:pPr>
              <w:tabs>
                <w:tab w:val="left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8308D" w:rsidRDefault="00B8308D">
      <w:pPr>
        <w:pStyle w:val="Ttulo2"/>
        <w:rPr>
          <w:rFonts w:ascii="Times New Roman" w:hAnsi="Times New Roman" w:cs="Times New Roman"/>
          <w:i w:val="0"/>
          <w:sz w:val="24"/>
          <w:szCs w:val="24"/>
        </w:rPr>
      </w:pPr>
    </w:p>
    <w:p w:rsidR="00B8308D" w:rsidRDefault="00B8308D">
      <w:pPr>
        <w:rPr>
          <w:b/>
          <w:bCs/>
          <w:iCs/>
        </w:rPr>
      </w:pPr>
      <w:r>
        <w:rPr>
          <w:i/>
        </w:rPr>
        <w:br w:type="page"/>
      </w:r>
    </w:p>
    <w:p w:rsidR="0007438D" w:rsidRDefault="009E38C9">
      <w:pPr>
        <w:pStyle w:val="Ttulo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BIBLIOGRAFÍA</w:t>
      </w:r>
    </w:p>
    <w:p w:rsidR="0007438D" w:rsidRDefault="0007438D">
      <w:pPr>
        <w:jc w:val="center"/>
      </w:pPr>
    </w:p>
    <w:p w:rsidR="0007438D" w:rsidRDefault="009E38C9">
      <w:pPr>
        <w:spacing w:line="360" w:lineRule="auto"/>
        <w:ind w:firstLine="566"/>
        <w:jc w:val="both"/>
      </w:pPr>
      <w:r>
        <w:t xml:space="preserve">CRUZ MUNDET, José Ramón. Manual de Archivística. Madrid: Fundación Germán Sánchez </w:t>
      </w:r>
      <w:proofErr w:type="spellStart"/>
      <w:r>
        <w:t>Ruiperez</w:t>
      </w:r>
      <w:proofErr w:type="spellEnd"/>
      <w:r>
        <w:t>, 1994.</w:t>
      </w:r>
    </w:p>
    <w:p w:rsidR="0007438D" w:rsidRDefault="0007438D">
      <w:pPr>
        <w:spacing w:line="360" w:lineRule="auto"/>
        <w:ind w:firstLine="566"/>
        <w:jc w:val="both"/>
      </w:pPr>
    </w:p>
    <w:p w:rsidR="0007438D" w:rsidRDefault="009E38C9">
      <w:pPr>
        <w:spacing w:line="360" w:lineRule="auto"/>
        <w:ind w:firstLine="566"/>
        <w:jc w:val="both"/>
      </w:pPr>
      <w:r>
        <w:t xml:space="preserve">DIRECCIÓN GENERAL DEL ARCHIVO NACIONAL. Diagnóstico Archivístico del Departamento Archivo Histórico. Inédito, 2003. </w:t>
      </w:r>
    </w:p>
    <w:p w:rsidR="0007438D" w:rsidRDefault="0007438D">
      <w:pPr>
        <w:spacing w:line="360" w:lineRule="auto"/>
        <w:ind w:firstLine="566"/>
        <w:jc w:val="both"/>
      </w:pPr>
    </w:p>
    <w:p w:rsidR="0007438D" w:rsidRDefault="009E38C9">
      <w:pPr>
        <w:spacing w:line="360" w:lineRule="auto"/>
        <w:ind w:firstLine="566"/>
        <w:jc w:val="both"/>
      </w:pPr>
      <w:r>
        <w:t>DUCHEIN, Michel. La administración moderna de archivos y la gestión documental: el prontuario RAMP. París: UNESCO, 1985.</w:t>
      </w:r>
    </w:p>
    <w:p w:rsidR="0007438D" w:rsidRDefault="0007438D">
      <w:pPr>
        <w:spacing w:line="360" w:lineRule="auto"/>
        <w:ind w:firstLine="566"/>
        <w:jc w:val="both"/>
      </w:pPr>
    </w:p>
    <w:p w:rsidR="0007438D" w:rsidRDefault="009E38C9">
      <w:pPr>
        <w:spacing w:line="360" w:lineRule="auto"/>
        <w:ind w:firstLine="566"/>
        <w:jc w:val="both"/>
      </w:pPr>
      <w:r>
        <w:t xml:space="preserve">GRUPO IBEROAMERICANO DE TRATAMIENTO DE ARCHIVOS ADMINISTRATIVOS. Hacia un diccionario de terminología archivística. </w:t>
      </w:r>
      <w:proofErr w:type="spellStart"/>
      <w:r>
        <w:t>Santafe</w:t>
      </w:r>
      <w:proofErr w:type="spellEnd"/>
      <w:r>
        <w:t xml:space="preserve"> de </w:t>
      </w:r>
      <w:proofErr w:type="spellStart"/>
      <w:r>
        <w:t>Bogota</w:t>
      </w:r>
      <w:proofErr w:type="spellEnd"/>
      <w:r>
        <w:t>: Archivo General de la Nación, 1997.</w:t>
      </w:r>
    </w:p>
    <w:p w:rsidR="0007438D" w:rsidRDefault="0007438D">
      <w:pPr>
        <w:spacing w:line="360" w:lineRule="auto"/>
        <w:ind w:firstLine="566"/>
        <w:jc w:val="both"/>
      </w:pPr>
    </w:p>
    <w:p w:rsidR="0007438D" w:rsidRDefault="009E38C9">
      <w:pPr>
        <w:spacing w:line="360" w:lineRule="auto"/>
        <w:ind w:firstLine="566"/>
        <w:jc w:val="both"/>
      </w:pPr>
      <w:r>
        <w:t>MARTÍN-POZUELO CAMPILLOS, Mª Paz. La construcción teórica en Archivística: El principio de prudencia: Madrid: Universidad Carlos III de Madrid – Boletín Oficial del Estado, 1996.</w:t>
      </w:r>
    </w:p>
    <w:p w:rsidR="0007438D" w:rsidRDefault="0007438D">
      <w:pPr>
        <w:spacing w:line="360" w:lineRule="auto"/>
        <w:ind w:firstLine="566"/>
        <w:jc w:val="both"/>
      </w:pPr>
    </w:p>
    <w:p w:rsidR="0007438D" w:rsidRDefault="009E38C9">
      <w:pPr>
        <w:spacing w:line="360" w:lineRule="auto"/>
        <w:ind w:firstLine="566"/>
        <w:jc w:val="both"/>
      </w:pPr>
      <w:r>
        <w:lastRenderedPageBreak/>
        <w:t xml:space="preserve">MINISTERIO DE EDUCACIÓN, CULTURA Y DEPORTE. ISAD (G). Norma Internacional General de Descripción Archivística. 2ª ed. Madrid: Subdirección de los Archivos Estatales, 2000. </w:t>
      </w:r>
    </w:p>
    <w:p w:rsidR="0007438D" w:rsidRDefault="0007438D">
      <w:pPr>
        <w:spacing w:line="360" w:lineRule="auto"/>
        <w:ind w:firstLine="566"/>
        <w:jc w:val="both"/>
      </w:pPr>
    </w:p>
    <w:p w:rsidR="0007438D" w:rsidRDefault="009E38C9">
      <w:pPr>
        <w:spacing w:line="360" w:lineRule="auto"/>
        <w:ind w:firstLine="566"/>
        <w:jc w:val="both"/>
        <w:rPr>
          <w:i/>
          <w:sz w:val="36"/>
          <w:szCs w:val="36"/>
        </w:rPr>
      </w:pPr>
      <w:r>
        <w:t>SUBDIRECCIÓN GENERAL DE LOS ARCHIVOS ESTATALES. Diccionario de Terminología Archivística. 2ª ed. Madrid: Subdirección General de los Archivos Estatales, 1999.</w:t>
      </w:r>
    </w:p>
    <w:p w:rsidR="0007438D" w:rsidRDefault="009E38C9">
      <w:pPr>
        <w:tabs>
          <w:tab w:val="left" w:pos="1560"/>
        </w:tabs>
        <w:spacing w:line="360" w:lineRule="auto"/>
        <w:ind w:firstLine="566"/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07438D">
      <w:headerReference w:type="default" r:id="rId12"/>
      <w:pgSz w:w="15842" w:h="12242" w:orient="landscape"/>
      <w:pgMar w:top="1701" w:right="1792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58" w:rsidRDefault="00D44858">
      <w:r>
        <w:separator/>
      </w:r>
    </w:p>
  </w:endnote>
  <w:endnote w:type="continuationSeparator" w:id="0">
    <w:p w:rsidR="00D44858" w:rsidRDefault="00D4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56" w:rsidRDefault="000A6556">
    <w:pPr>
      <w:rPr>
        <w:rFonts w:ascii="Calibri" w:eastAsia="Calibri" w:hAnsi="Calibri" w:cs="Calibri"/>
        <w:b/>
        <w:color w:val="4F81BD"/>
        <w:sz w:val="18"/>
        <w:szCs w:val="18"/>
      </w:rPr>
    </w:pPr>
    <w:r>
      <w:rPr>
        <w:noProof/>
        <w:lang w:val="es-CR" w:eastAsia="es-CR"/>
      </w:rPr>
      <mc:AlternateContent>
        <mc:Choice Requires="wpg">
          <w:drawing>
            <wp:anchor distT="4294967295" distB="4294967295" distL="114300" distR="114300" simplePos="0" relativeHeight="251658240" behindDoc="0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119396</wp:posOffset>
              </wp:positionV>
              <wp:extent cx="8983345" cy="19050"/>
              <wp:effectExtent l="0" t="0" r="0" b="0"/>
              <wp:wrapNone/>
              <wp:docPr id="20" name="Conector recto de flech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854328" y="3780000"/>
                        <a:ext cx="898334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538CD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-203199</wp:posOffset>
              </wp:positionH>
              <wp:positionV relativeFrom="paragraph">
                <wp:posOffset>119396</wp:posOffset>
              </wp:positionV>
              <wp:extent cx="8983345" cy="19050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8334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4"/>
      <w:tblW w:w="12193" w:type="dxa"/>
      <w:tblInd w:w="34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7"/>
      <w:gridCol w:w="584"/>
      <w:gridCol w:w="2934"/>
      <w:gridCol w:w="570"/>
      <w:gridCol w:w="2242"/>
      <w:gridCol w:w="560"/>
      <w:gridCol w:w="2550"/>
      <w:gridCol w:w="1376"/>
    </w:tblGrid>
    <w:tr w:rsidR="000A6556">
      <w:trPr>
        <w:trHeight w:val="562"/>
      </w:trPr>
      <w:tc>
        <w:tcPr>
          <w:tcW w:w="1378" w:type="dxa"/>
          <w:shd w:val="clear" w:color="auto" w:fill="007D8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</w:p>
      </w:tc>
      <w:tc>
        <w:tcPr>
          <w:tcW w:w="9440" w:type="dxa"/>
          <w:gridSpan w:val="6"/>
          <w:shd w:val="clear" w:color="auto" w:fill="007D89"/>
          <w:vAlign w:val="center"/>
        </w:tcPr>
        <w:p w:rsidR="000A6556" w:rsidRDefault="000A6556">
          <w:pPr>
            <w:jc w:val="center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FFFFFF"/>
              <w:sz w:val="20"/>
              <w:szCs w:val="20"/>
            </w:rPr>
            <w:t>“Desde 1881, al servicio de la memoria y la adecuada gestión de los documentos”</w:t>
          </w:r>
        </w:p>
      </w:tc>
      <w:tc>
        <w:tcPr>
          <w:tcW w:w="1376" w:type="dxa"/>
          <w:shd w:val="clear" w:color="auto" w:fill="007D8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</w:p>
      </w:tc>
    </w:tr>
    <w:tr w:rsidR="000A6556">
      <w:trPr>
        <w:trHeight w:val="1135"/>
      </w:trPr>
      <w:tc>
        <w:tcPr>
          <w:tcW w:w="1378" w:type="dxa"/>
          <w:shd w:val="clear" w:color="auto" w:fill="00ACA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</w:p>
      </w:tc>
      <w:tc>
        <w:tcPr>
          <w:tcW w:w="584" w:type="dxa"/>
          <w:shd w:val="clear" w:color="auto" w:fill="00ACA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noProof/>
              <w:color w:val="FFFFFF"/>
              <w:sz w:val="19"/>
              <w:szCs w:val="19"/>
              <w:lang w:val="es-CR" w:eastAsia="es-CR"/>
            </w:rPr>
            <w:drawing>
              <wp:inline distT="114300" distB="114300" distL="114300" distR="114300">
                <wp:extent cx="268969" cy="268969"/>
                <wp:effectExtent l="0" t="0" r="0" b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69" cy="2689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4" w:type="dxa"/>
          <w:shd w:val="clear" w:color="auto" w:fill="00ACA9"/>
          <w:vAlign w:val="center"/>
        </w:tcPr>
        <w:p w:rsidR="000A6556" w:rsidRDefault="00D44858">
          <w:pPr>
            <w:widowControl w:val="0"/>
            <w:rPr>
              <w:rFonts w:ascii="Calibri" w:eastAsia="Calibri" w:hAnsi="Calibri" w:cs="Calibri"/>
              <w:color w:val="FFFFFF"/>
              <w:sz w:val="19"/>
              <w:szCs w:val="19"/>
            </w:rPr>
          </w:pPr>
          <w:hyperlink r:id="rId3">
            <w:r w:rsidR="000A6556">
              <w:rPr>
                <w:rFonts w:ascii="Calibri" w:eastAsia="Calibri" w:hAnsi="Calibri" w:cs="Calibri"/>
                <w:color w:val="FFFFFF"/>
                <w:sz w:val="19"/>
                <w:szCs w:val="19"/>
              </w:rPr>
              <w:t>www.archivonacional.go.cr</w:t>
            </w:r>
          </w:hyperlink>
        </w:p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>archivonacional@dgan.go.cr</w:t>
          </w:r>
        </w:p>
      </w:tc>
      <w:tc>
        <w:tcPr>
          <w:tcW w:w="570" w:type="dxa"/>
          <w:shd w:val="clear" w:color="auto" w:fill="00ACA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noProof/>
              <w:color w:val="FFFFFF"/>
              <w:sz w:val="19"/>
              <w:szCs w:val="19"/>
              <w:lang w:val="es-CR" w:eastAsia="es-CR"/>
            </w:rPr>
            <w:drawing>
              <wp:inline distT="114300" distB="114300" distL="114300" distR="114300">
                <wp:extent cx="273731" cy="273731"/>
                <wp:effectExtent l="0" t="0" r="0" b="0"/>
                <wp:docPr id="2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31" cy="27373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2" w:type="dxa"/>
          <w:shd w:val="clear" w:color="auto" w:fill="00ACA9"/>
          <w:vAlign w:val="center"/>
        </w:tcPr>
        <w:p w:rsidR="000A6556" w:rsidRDefault="000A6556">
          <w:pPr>
            <w:widowControl w:val="0"/>
            <w:rPr>
              <w:rFonts w:ascii="Calibri" w:eastAsia="Calibri" w:hAnsi="Calibri" w:cs="Calibri"/>
              <w:color w:val="FFFFFF"/>
              <w:sz w:val="19"/>
              <w:szCs w:val="19"/>
            </w:rPr>
          </w:pPr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>Tel: (506) 2283-1400</w:t>
          </w:r>
        </w:p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>Fax: (506) 2234-7312</w:t>
          </w:r>
        </w:p>
      </w:tc>
      <w:tc>
        <w:tcPr>
          <w:tcW w:w="560" w:type="dxa"/>
          <w:shd w:val="clear" w:color="auto" w:fill="00ACA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noProof/>
              <w:color w:val="FFFFFF"/>
              <w:sz w:val="19"/>
              <w:szCs w:val="19"/>
              <w:lang w:val="es-CR" w:eastAsia="es-CR"/>
            </w:rPr>
            <w:drawing>
              <wp:inline distT="114300" distB="114300" distL="114300" distR="114300">
                <wp:extent cx="259669" cy="271472"/>
                <wp:effectExtent l="0" t="0" r="0" b="0"/>
                <wp:docPr id="2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69" cy="2714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shd w:val="clear" w:color="auto" w:fill="00ACA9"/>
          <w:vAlign w:val="center"/>
        </w:tcPr>
        <w:p w:rsidR="000A6556" w:rsidRDefault="000A6556">
          <w:pPr>
            <w:widowControl w:val="0"/>
            <w:rPr>
              <w:rFonts w:ascii="Calibri" w:eastAsia="Calibri" w:hAnsi="Calibri" w:cs="Calibri"/>
              <w:color w:val="FFFFFF"/>
              <w:sz w:val="19"/>
              <w:szCs w:val="19"/>
            </w:rPr>
          </w:pPr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 xml:space="preserve">Curridabat, 900 </w:t>
          </w:r>
          <w:proofErr w:type="spellStart"/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>mts</w:t>
          </w:r>
          <w:proofErr w:type="spellEnd"/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 xml:space="preserve"> sur y</w:t>
          </w:r>
        </w:p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 xml:space="preserve">150 </w:t>
          </w:r>
          <w:proofErr w:type="spellStart"/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>mts</w:t>
          </w:r>
          <w:proofErr w:type="spellEnd"/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 xml:space="preserve"> oeste de Plaza del Sol</w:t>
          </w:r>
        </w:p>
      </w:tc>
      <w:tc>
        <w:tcPr>
          <w:tcW w:w="1376" w:type="dxa"/>
          <w:shd w:val="clear" w:color="auto" w:fill="00ACA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</w:p>
      </w:tc>
    </w:tr>
  </w:tbl>
  <w:p w:rsidR="000A6556" w:rsidRDefault="000A6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56" w:rsidRDefault="000A6556">
    <w:pPr>
      <w:rPr>
        <w:rFonts w:ascii="Calibri" w:eastAsia="Calibri" w:hAnsi="Calibri" w:cs="Calibri"/>
        <w:b/>
        <w:color w:val="4F81BD"/>
        <w:sz w:val="18"/>
        <w:szCs w:val="18"/>
      </w:rPr>
    </w:pPr>
  </w:p>
  <w:p w:rsidR="000A6556" w:rsidRDefault="000A6556">
    <w:pPr>
      <w:rPr>
        <w:rFonts w:ascii="Calibri" w:eastAsia="Calibri" w:hAnsi="Calibri" w:cs="Calibri"/>
        <w:b/>
        <w:color w:val="4F81BD"/>
        <w:sz w:val="18"/>
        <w:szCs w:val="18"/>
      </w:rPr>
    </w:pPr>
    <w:r>
      <w:rPr>
        <w:noProof/>
        <w:lang w:val="es-CR" w:eastAsia="es-CR"/>
      </w:rPr>
      <mc:AlternateContent>
        <mc:Choice Requires="wpg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119396</wp:posOffset>
              </wp:positionV>
              <wp:extent cx="8983345" cy="19050"/>
              <wp:effectExtent l="0" t="0" r="0" b="0"/>
              <wp:wrapNone/>
              <wp:docPr id="19" name="Conector recto de flech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854328" y="3780000"/>
                        <a:ext cx="898334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538CD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-203199</wp:posOffset>
              </wp:positionH>
              <wp:positionV relativeFrom="paragraph">
                <wp:posOffset>119396</wp:posOffset>
              </wp:positionV>
              <wp:extent cx="8983345" cy="19050"/>
              <wp:effectExtent b="0" l="0" r="0" t="0"/>
              <wp:wrapNone/>
              <wp:docPr id="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8334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A6556" w:rsidRDefault="000A6556">
    <w:pPr>
      <w:numPr>
        <w:ilvl w:val="0"/>
        <w:numId w:val="1"/>
      </w:numPr>
      <w:rPr>
        <w:rFonts w:ascii="Calibri" w:eastAsia="Calibri" w:hAnsi="Calibri" w:cs="Calibri"/>
        <w:b/>
        <w:color w:val="4F81BD"/>
        <w:sz w:val="18"/>
        <w:szCs w:val="18"/>
      </w:rPr>
    </w:pPr>
  </w:p>
  <w:tbl>
    <w:tblPr>
      <w:tblStyle w:val="a5"/>
      <w:tblW w:w="12333" w:type="dxa"/>
      <w:tblInd w:w="78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94"/>
      <w:gridCol w:w="591"/>
      <w:gridCol w:w="2967"/>
      <w:gridCol w:w="577"/>
      <w:gridCol w:w="2268"/>
      <w:gridCol w:w="567"/>
      <w:gridCol w:w="2577"/>
      <w:gridCol w:w="1392"/>
    </w:tblGrid>
    <w:tr w:rsidR="000A6556">
      <w:trPr>
        <w:trHeight w:val="567"/>
      </w:trPr>
      <w:tc>
        <w:tcPr>
          <w:tcW w:w="1394" w:type="dxa"/>
          <w:shd w:val="clear" w:color="auto" w:fill="007D8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</w:p>
      </w:tc>
      <w:tc>
        <w:tcPr>
          <w:tcW w:w="9547" w:type="dxa"/>
          <w:gridSpan w:val="6"/>
          <w:shd w:val="clear" w:color="auto" w:fill="007D89"/>
          <w:vAlign w:val="center"/>
        </w:tcPr>
        <w:p w:rsidR="000A6556" w:rsidRDefault="000A6556">
          <w:pPr>
            <w:jc w:val="center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FFFFFF"/>
              <w:sz w:val="20"/>
              <w:szCs w:val="20"/>
            </w:rPr>
            <w:t>“Desde 1881, al servicio de la memoria y la adecuada gestión de los documentos”</w:t>
          </w:r>
        </w:p>
      </w:tc>
      <w:tc>
        <w:tcPr>
          <w:tcW w:w="1392" w:type="dxa"/>
          <w:shd w:val="clear" w:color="auto" w:fill="007D8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</w:p>
      </w:tc>
    </w:tr>
    <w:tr w:rsidR="000A6556">
      <w:trPr>
        <w:trHeight w:val="1135"/>
      </w:trPr>
      <w:tc>
        <w:tcPr>
          <w:tcW w:w="1394" w:type="dxa"/>
          <w:shd w:val="clear" w:color="auto" w:fill="00ACA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</w:p>
      </w:tc>
      <w:tc>
        <w:tcPr>
          <w:tcW w:w="591" w:type="dxa"/>
          <w:shd w:val="clear" w:color="auto" w:fill="00ACA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noProof/>
              <w:color w:val="FFFFFF"/>
              <w:sz w:val="19"/>
              <w:szCs w:val="19"/>
              <w:lang w:val="es-CR" w:eastAsia="es-CR"/>
            </w:rPr>
            <w:drawing>
              <wp:inline distT="114300" distB="114300" distL="114300" distR="114300">
                <wp:extent cx="268969" cy="268969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69" cy="2689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7" w:type="dxa"/>
          <w:shd w:val="clear" w:color="auto" w:fill="00ACA9"/>
          <w:vAlign w:val="center"/>
        </w:tcPr>
        <w:p w:rsidR="000A6556" w:rsidRDefault="00D44858">
          <w:pPr>
            <w:widowControl w:val="0"/>
            <w:rPr>
              <w:rFonts w:ascii="Calibri" w:eastAsia="Calibri" w:hAnsi="Calibri" w:cs="Calibri"/>
              <w:color w:val="FFFFFF"/>
              <w:sz w:val="19"/>
              <w:szCs w:val="19"/>
            </w:rPr>
          </w:pPr>
          <w:hyperlink r:id="rId3">
            <w:r w:rsidR="000A6556">
              <w:rPr>
                <w:rFonts w:ascii="Calibri" w:eastAsia="Calibri" w:hAnsi="Calibri" w:cs="Calibri"/>
                <w:color w:val="FFFFFF"/>
                <w:sz w:val="19"/>
                <w:szCs w:val="19"/>
              </w:rPr>
              <w:t>www.archivonacional.go.cr</w:t>
            </w:r>
          </w:hyperlink>
        </w:p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>archivonacional@dgan.go.cr</w:t>
          </w:r>
        </w:p>
      </w:tc>
      <w:tc>
        <w:tcPr>
          <w:tcW w:w="577" w:type="dxa"/>
          <w:shd w:val="clear" w:color="auto" w:fill="00ACA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noProof/>
              <w:color w:val="FFFFFF"/>
              <w:sz w:val="19"/>
              <w:szCs w:val="19"/>
              <w:lang w:val="es-CR" w:eastAsia="es-CR"/>
            </w:rPr>
            <w:drawing>
              <wp:inline distT="114300" distB="114300" distL="114300" distR="114300">
                <wp:extent cx="273731" cy="273731"/>
                <wp:effectExtent l="0" t="0" r="0" b="0"/>
                <wp:docPr id="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31" cy="27373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00ACA9"/>
          <w:vAlign w:val="center"/>
        </w:tcPr>
        <w:p w:rsidR="000A6556" w:rsidRDefault="000A6556">
          <w:pPr>
            <w:widowControl w:val="0"/>
            <w:rPr>
              <w:rFonts w:ascii="Calibri" w:eastAsia="Calibri" w:hAnsi="Calibri" w:cs="Calibri"/>
              <w:color w:val="FFFFFF"/>
              <w:sz w:val="19"/>
              <w:szCs w:val="19"/>
            </w:rPr>
          </w:pPr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>Tel: (506) 2283-1400</w:t>
          </w:r>
        </w:p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>Fax: (506) 2234-7312</w:t>
          </w:r>
        </w:p>
      </w:tc>
      <w:tc>
        <w:tcPr>
          <w:tcW w:w="567" w:type="dxa"/>
          <w:shd w:val="clear" w:color="auto" w:fill="00ACA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noProof/>
              <w:color w:val="FFFFFF"/>
              <w:sz w:val="19"/>
              <w:szCs w:val="19"/>
              <w:lang w:val="es-CR" w:eastAsia="es-CR"/>
            </w:rPr>
            <w:drawing>
              <wp:inline distT="114300" distB="114300" distL="114300" distR="114300">
                <wp:extent cx="259669" cy="271472"/>
                <wp:effectExtent l="0" t="0" r="0" b="0"/>
                <wp:docPr id="26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69" cy="2714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7" w:type="dxa"/>
          <w:shd w:val="clear" w:color="auto" w:fill="00ACA9"/>
          <w:vAlign w:val="center"/>
        </w:tcPr>
        <w:p w:rsidR="000A6556" w:rsidRDefault="000A6556">
          <w:pPr>
            <w:widowControl w:val="0"/>
            <w:rPr>
              <w:rFonts w:ascii="Calibri" w:eastAsia="Calibri" w:hAnsi="Calibri" w:cs="Calibri"/>
              <w:color w:val="FFFFFF"/>
              <w:sz w:val="19"/>
              <w:szCs w:val="19"/>
            </w:rPr>
          </w:pPr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 xml:space="preserve">Curridabat, 900 </w:t>
          </w:r>
          <w:proofErr w:type="spellStart"/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>mts</w:t>
          </w:r>
          <w:proofErr w:type="spellEnd"/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 xml:space="preserve"> sur y</w:t>
          </w:r>
        </w:p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 xml:space="preserve">150 </w:t>
          </w:r>
          <w:proofErr w:type="spellStart"/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>mts</w:t>
          </w:r>
          <w:proofErr w:type="spellEnd"/>
          <w:r>
            <w:rPr>
              <w:rFonts w:ascii="Calibri" w:eastAsia="Calibri" w:hAnsi="Calibri" w:cs="Calibri"/>
              <w:color w:val="FFFFFF"/>
              <w:sz w:val="19"/>
              <w:szCs w:val="19"/>
            </w:rPr>
            <w:t xml:space="preserve"> oeste de Plaza del Sol</w:t>
          </w:r>
        </w:p>
      </w:tc>
      <w:tc>
        <w:tcPr>
          <w:tcW w:w="1392" w:type="dxa"/>
          <w:shd w:val="clear" w:color="auto" w:fill="00ACA9"/>
          <w:vAlign w:val="center"/>
        </w:tcPr>
        <w:p w:rsidR="000A6556" w:rsidRDefault="000A6556">
          <w:pPr>
            <w:jc w:val="both"/>
            <w:rPr>
              <w:rFonts w:ascii="Verdana" w:eastAsia="Verdana" w:hAnsi="Verdana" w:cs="Verdana"/>
              <w:sz w:val="20"/>
              <w:szCs w:val="20"/>
            </w:rPr>
          </w:pPr>
        </w:p>
      </w:tc>
    </w:tr>
  </w:tbl>
  <w:p w:rsidR="000A6556" w:rsidRDefault="000A6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58" w:rsidRDefault="00D44858">
      <w:r>
        <w:separator/>
      </w:r>
    </w:p>
  </w:footnote>
  <w:footnote w:type="continuationSeparator" w:id="0">
    <w:p w:rsidR="00D44858" w:rsidRDefault="00D44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56" w:rsidRDefault="000A6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A6556" w:rsidRDefault="000A6556">
    <w:pPr>
      <w:jc w:val="center"/>
      <w:rPr>
        <w:b/>
      </w:rPr>
    </w:pPr>
    <w:r>
      <w:rPr>
        <w:b/>
      </w:rPr>
      <w:t>CUADRO DE CLASIFICACIÓN DEL ARCHIVO INTERMEDIO</w:t>
    </w:r>
  </w:p>
  <w:p w:rsidR="000A6556" w:rsidRDefault="000A6556">
    <w:pPr>
      <w:jc w:val="center"/>
      <w:rPr>
        <w:b/>
      </w:rPr>
    </w:pPr>
  </w:p>
  <w:tbl>
    <w:tblPr>
      <w:tblStyle w:val="a2"/>
      <w:tblW w:w="13860" w:type="dxa"/>
      <w:tblInd w:w="-43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40"/>
      <w:gridCol w:w="2700"/>
      <w:gridCol w:w="2160"/>
      <w:gridCol w:w="2520"/>
      <w:gridCol w:w="2520"/>
      <w:gridCol w:w="1620"/>
    </w:tblGrid>
    <w:tr w:rsidR="000A6556">
      <w:tc>
        <w:tcPr>
          <w:tcW w:w="0" w:type="auto"/>
        </w:tcPr>
        <w:p w:rsidR="000A6556" w:rsidRDefault="000A6556">
          <w:pPr>
            <w:jc w:val="center"/>
            <w:rPr>
              <w:b/>
            </w:rPr>
          </w:pPr>
          <w:r>
            <w:rPr>
              <w:b/>
            </w:rPr>
            <w:t>FONDO NIVEL I</w:t>
          </w:r>
        </w:p>
      </w:tc>
      <w:tc>
        <w:tcPr>
          <w:tcW w:w="0" w:type="auto"/>
        </w:tcPr>
        <w:p w:rsidR="000A6556" w:rsidRDefault="000A6556">
          <w:pPr>
            <w:jc w:val="center"/>
            <w:rPr>
              <w:b/>
            </w:rPr>
          </w:pPr>
          <w:r>
            <w:rPr>
              <w:b/>
            </w:rPr>
            <w:t>FONDO NIVEL II</w:t>
          </w:r>
        </w:p>
      </w:tc>
      <w:tc>
        <w:tcPr>
          <w:tcW w:w="0" w:type="auto"/>
        </w:tcPr>
        <w:p w:rsidR="000A6556" w:rsidRDefault="000A6556">
          <w:pPr>
            <w:jc w:val="center"/>
            <w:rPr>
              <w:b/>
            </w:rPr>
          </w:pPr>
          <w:r>
            <w:rPr>
              <w:b/>
            </w:rPr>
            <w:t>SUBFONDO I</w:t>
          </w:r>
        </w:p>
      </w:tc>
      <w:tc>
        <w:tcPr>
          <w:tcW w:w="0" w:type="auto"/>
        </w:tcPr>
        <w:p w:rsidR="000A6556" w:rsidRDefault="000A6556">
          <w:pPr>
            <w:jc w:val="center"/>
            <w:rPr>
              <w:b/>
            </w:rPr>
          </w:pPr>
          <w:r>
            <w:rPr>
              <w:b/>
            </w:rPr>
            <w:t>SUBFONDO II</w:t>
          </w:r>
        </w:p>
      </w:tc>
      <w:tc>
        <w:tcPr>
          <w:tcW w:w="0" w:type="auto"/>
        </w:tcPr>
        <w:p w:rsidR="000A6556" w:rsidRDefault="000A6556">
          <w:pPr>
            <w:jc w:val="center"/>
            <w:rPr>
              <w:b/>
            </w:rPr>
          </w:pPr>
          <w:r>
            <w:rPr>
              <w:b/>
            </w:rPr>
            <w:t>SERIE</w:t>
          </w:r>
        </w:p>
      </w:tc>
      <w:tc>
        <w:tcPr>
          <w:tcW w:w="0" w:type="auto"/>
        </w:tcPr>
        <w:p w:rsidR="000A6556" w:rsidRDefault="000A6556">
          <w:pPr>
            <w:jc w:val="center"/>
            <w:rPr>
              <w:b/>
            </w:rPr>
          </w:pPr>
          <w:r>
            <w:rPr>
              <w:b/>
            </w:rPr>
            <w:t>SUBSERIE</w:t>
          </w:r>
        </w:p>
      </w:tc>
    </w:tr>
  </w:tbl>
  <w:p w:rsidR="000A6556" w:rsidRDefault="000A65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56" w:rsidRDefault="000A6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5EE0">
      <w:rPr>
        <w:noProof/>
        <w:color w:val="000000"/>
      </w:rPr>
      <w:t>13</w:t>
    </w:r>
    <w:r>
      <w:rPr>
        <w:color w:val="000000"/>
      </w:rPr>
      <w:fldChar w:fldCharType="end"/>
    </w:r>
  </w:p>
  <w:p w:rsidR="000A6556" w:rsidRDefault="000A6556">
    <w:pPr>
      <w:jc w:val="center"/>
      <w:rPr>
        <w:b/>
        <w:sz w:val="28"/>
        <w:szCs w:val="28"/>
      </w:rPr>
    </w:pPr>
    <w:r>
      <w:rPr>
        <w:b/>
        <w:sz w:val="28"/>
        <w:szCs w:val="28"/>
      </w:rPr>
      <w:t>CUADRO DE CLASIFICACIÓN DEL ARCHIVO INTERMEDIO</w:t>
    </w:r>
  </w:p>
  <w:p w:rsidR="000A6556" w:rsidRDefault="000A6556">
    <w:pPr>
      <w:rPr>
        <w:sz w:val="28"/>
        <w:szCs w:val="28"/>
      </w:rPr>
    </w:pPr>
  </w:p>
  <w:tbl>
    <w:tblPr>
      <w:tblStyle w:val="a3"/>
      <w:tblW w:w="15309" w:type="dxa"/>
      <w:tblInd w:w="-114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552"/>
      <w:gridCol w:w="2693"/>
      <w:gridCol w:w="2716"/>
      <w:gridCol w:w="3096"/>
      <w:gridCol w:w="2126"/>
      <w:gridCol w:w="2126"/>
    </w:tblGrid>
    <w:tr w:rsidR="000A6556" w:rsidTr="00805597">
      <w:trPr>
        <w:trHeight w:val="345"/>
      </w:trPr>
      <w:tc>
        <w:tcPr>
          <w:tcW w:w="25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</w:tcPr>
        <w:p w:rsidR="000A6556" w:rsidRDefault="000A6556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b/>
            </w:rPr>
            <w:t>FONDO NIVEL I</w:t>
          </w:r>
        </w:p>
      </w:tc>
      <w:tc>
        <w:tcPr>
          <w:tcW w:w="2693" w:type="dxa"/>
          <w:tcBorders>
            <w:top w:val="single" w:sz="6" w:space="0" w:color="000000"/>
            <w:left w:val="single" w:sz="6" w:space="0" w:color="CCCCCC"/>
            <w:bottom w:val="single" w:sz="6" w:space="0" w:color="000000"/>
            <w:right w:val="single" w:sz="6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</w:tcPr>
        <w:p w:rsidR="000A6556" w:rsidRDefault="000A6556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b/>
            </w:rPr>
            <w:t>FONDO NIVEL II</w:t>
          </w:r>
        </w:p>
      </w:tc>
      <w:tc>
        <w:tcPr>
          <w:tcW w:w="2716" w:type="dxa"/>
          <w:tcBorders>
            <w:top w:val="single" w:sz="6" w:space="0" w:color="000000"/>
            <w:left w:val="single" w:sz="6" w:space="0" w:color="CCCCCC"/>
            <w:bottom w:val="single" w:sz="6" w:space="0" w:color="000000"/>
            <w:right w:val="single" w:sz="6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</w:tcPr>
        <w:p w:rsidR="000A6556" w:rsidRDefault="000A6556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b/>
            </w:rPr>
            <w:t>SUBFONDO I</w:t>
          </w:r>
        </w:p>
      </w:tc>
      <w:tc>
        <w:tcPr>
          <w:tcW w:w="3096" w:type="dxa"/>
          <w:tcBorders>
            <w:top w:val="single" w:sz="6" w:space="0" w:color="000000"/>
            <w:left w:val="single" w:sz="6" w:space="0" w:color="CCCCCC"/>
            <w:bottom w:val="single" w:sz="6" w:space="0" w:color="000000"/>
            <w:right w:val="single" w:sz="6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</w:tcPr>
        <w:p w:rsidR="000A6556" w:rsidRDefault="000A6556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b/>
            </w:rPr>
            <w:t>SUBFONDO II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CCCCCC"/>
            <w:bottom w:val="single" w:sz="6" w:space="0" w:color="000000"/>
            <w:right w:val="single" w:sz="6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</w:tcPr>
        <w:p w:rsidR="000A6556" w:rsidRDefault="000A6556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b/>
            </w:rPr>
            <w:t>SERIE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CCCCCC"/>
            <w:bottom w:val="single" w:sz="6" w:space="0" w:color="000000"/>
            <w:right w:val="single" w:sz="6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</w:tcPr>
        <w:p w:rsidR="000A6556" w:rsidRDefault="000A6556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b/>
            </w:rPr>
            <w:t>SUBSERIE</w:t>
          </w:r>
        </w:p>
      </w:tc>
    </w:tr>
  </w:tbl>
  <w:p w:rsidR="000A6556" w:rsidRDefault="000A6556">
    <w:pPr>
      <w:jc w:val="center"/>
      <w:rPr>
        <w:b/>
        <w:sz w:val="28"/>
        <w:szCs w:val="28"/>
      </w:rPr>
    </w:pPr>
  </w:p>
  <w:p w:rsidR="000A6556" w:rsidRDefault="000A6556">
    <w:pPr>
      <w:jc w:val="center"/>
      <w:rPr>
        <w:b/>
      </w:rPr>
    </w:pPr>
  </w:p>
  <w:p w:rsidR="000A6556" w:rsidRDefault="000A65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B0B80"/>
    <w:multiLevelType w:val="multilevel"/>
    <w:tmpl w:val="98F8D43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D"/>
    <w:rsid w:val="0007438D"/>
    <w:rsid w:val="000A6556"/>
    <w:rsid w:val="00175CE8"/>
    <w:rsid w:val="00321332"/>
    <w:rsid w:val="00321865"/>
    <w:rsid w:val="003B3806"/>
    <w:rsid w:val="0048792B"/>
    <w:rsid w:val="00677BCF"/>
    <w:rsid w:val="00765EE0"/>
    <w:rsid w:val="007978AA"/>
    <w:rsid w:val="00805597"/>
    <w:rsid w:val="008B2944"/>
    <w:rsid w:val="00971982"/>
    <w:rsid w:val="009E38C9"/>
    <w:rsid w:val="00B8308D"/>
    <w:rsid w:val="00C62EC1"/>
    <w:rsid w:val="00D44858"/>
    <w:rsid w:val="00E24D90"/>
    <w:rsid w:val="00E3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3A240-E9BF-4039-879A-AC71C7A2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 w:val="48"/>
      <w:szCs w:val="3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qFormat/>
    <w:pPr>
      <w:jc w:val="center"/>
    </w:pPr>
    <w:rPr>
      <w:b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rPr>
      <w:color w:val="993366"/>
      <w:szCs w:val="16"/>
    </w:rPr>
  </w:style>
  <w:style w:type="paragraph" w:styleId="Textoindependiente2">
    <w:name w:val="Body Text 2"/>
    <w:basedOn w:val="Normal"/>
    <w:semiHidden/>
    <w:rPr>
      <w:color w:val="000080"/>
      <w:szCs w:val="16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Descripcin">
    <w:name w:val="caption"/>
    <w:basedOn w:val="Normal"/>
    <w:next w:val="Normal"/>
    <w:qFormat/>
    <w:rPr>
      <w:rFonts w:ascii="Arial" w:hAnsi="Arial"/>
      <w:b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PiedepginaCar">
    <w:name w:val="Pie de página Car"/>
    <w:rPr>
      <w:sz w:val="24"/>
      <w:szCs w:val="24"/>
    </w:r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unhideWhenUsed/>
    <w:rPr>
      <w:sz w:val="20"/>
      <w:szCs w:val="20"/>
    </w:rPr>
  </w:style>
  <w:style w:type="character" w:customStyle="1" w:styleId="TextonotaalfinalCar">
    <w:name w:val="Texto nota al final Car"/>
    <w:basedOn w:val="Fuentedeprrafopredeter"/>
    <w:semiHidden/>
  </w:style>
  <w:style w:type="character" w:styleId="Refdenotaalfinal">
    <w:name w:val="endnote reference"/>
    <w:semiHidden/>
    <w:unhideWhenUsed/>
    <w:rPr>
      <w:vertAlign w:val="superscript"/>
    </w:rPr>
  </w:style>
  <w:style w:type="table" w:styleId="Tablaconcuadrcula">
    <w:name w:val="Table Grid"/>
    <w:basedOn w:val="Tablanormal"/>
    <w:uiPriority w:val="39"/>
    <w:rsid w:val="00CB1786"/>
    <w:rPr>
      <w:rFonts w:ascii="Arial" w:eastAsia="Arial" w:hAnsi="Arial" w:cs="Arial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chivonacional.go.c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chivonacional.go.c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BpPPqZ+WvFMGjC6uwkf3NjjflQ==">AMUW2mUlfbp9yB23r0A2M9I4PvMcCzBtrlTYNh6b4I7kfutW6zEG64Qr4/Q9kzxnVceQ5HKek6THdnrDHqWej8Tb2jiNEyP8Ff7F90VDcGxUUmfJb2BKouTm2ZyQK/UoOJJmWWh/ByEd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53</Pages>
  <Words>3248</Words>
  <Characters>17868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Marín Chacón</dc:creator>
  <cp:lastModifiedBy>Denise Calvo López</cp:lastModifiedBy>
  <cp:revision>7</cp:revision>
  <dcterms:created xsi:type="dcterms:W3CDTF">2022-06-16T21:46:00Z</dcterms:created>
  <dcterms:modified xsi:type="dcterms:W3CDTF">2022-11-08T16:24:00Z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0x0101003C438106D68B214F9C823827A7D00FEA</vt:lpwstr>
  </property>
  <property fmtid="{D5CDD505-2E9C-101B-9397-08002B2CF9AE}" pid="3" name="Order">
    <vt:r8>4650300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