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E78" w:rsidRPr="002D306C" w:rsidRDefault="00F76E78" w:rsidP="0072178D">
      <w:pPr>
        <w:pStyle w:val="Ttulo1"/>
        <w:jc w:val="center"/>
        <w:rPr>
          <w:sz w:val="32"/>
          <w:szCs w:val="32"/>
          <w:lang w:val="es-ES"/>
        </w:rPr>
      </w:pPr>
      <w:r w:rsidRPr="002D306C">
        <w:rPr>
          <w:sz w:val="32"/>
          <w:szCs w:val="32"/>
          <w:lang w:val="es-ES"/>
        </w:rPr>
        <w:t>ESTADO DE SITUACION FINANCIERA</w:t>
      </w:r>
    </w:p>
    <w:p w:rsidR="0072178D" w:rsidRDefault="0072178D" w:rsidP="0072178D">
      <w:pPr>
        <w:pStyle w:val="Ttulo2"/>
        <w:jc w:val="both"/>
        <w:rPr>
          <w:color w:val="365F91"/>
        </w:rPr>
      </w:pPr>
    </w:p>
    <w:p w:rsidR="00F76E78" w:rsidRPr="00F76E78" w:rsidRDefault="00F76E78" w:rsidP="0072178D">
      <w:pPr>
        <w:pStyle w:val="Ttulo2"/>
        <w:jc w:val="both"/>
        <w:rPr>
          <w:color w:val="365F91"/>
        </w:rPr>
      </w:pPr>
      <w:r w:rsidRPr="00F76E78">
        <w:rPr>
          <w:color w:val="365F91"/>
        </w:rPr>
        <w:t>Activo Corriente</w:t>
      </w:r>
    </w:p>
    <w:p w:rsidR="0072178D" w:rsidRDefault="0072178D" w:rsidP="0072178D">
      <w:pPr>
        <w:pStyle w:val="Ttulo3"/>
        <w:tabs>
          <w:tab w:val="left" w:pos="9405"/>
        </w:tabs>
        <w:jc w:val="both"/>
        <w:rPr>
          <w:color w:val="365F91"/>
        </w:rPr>
      </w:pPr>
    </w:p>
    <w:p w:rsidR="0072178D" w:rsidRDefault="00F76E78" w:rsidP="0072178D">
      <w:pPr>
        <w:pStyle w:val="Ttulo3"/>
        <w:tabs>
          <w:tab w:val="left" w:pos="9405"/>
        </w:tabs>
        <w:jc w:val="both"/>
        <w:rPr>
          <w:color w:val="365F91"/>
        </w:rPr>
      </w:pPr>
      <w:r w:rsidRPr="00F76E78">
        <w:rPr>
          <w:color w:val="365F91"/>
        </w:rPr>
        <w:t>NOTA No. 3 - Caja y Banco – Fondos Especiales</w:t>
      </w:r>
    </w:p>
    <w:p w:rsidR="00F76E78" w:rsidRPr="00F76E78" w:rsidRDefault="00F76E78" w:rsidP="0072178D">
      <w:pPr>
        <w:pStyle w:val="Ttulo3"/>
        <w:tabs>
          <w:tab w:val="left" w:pos="9405"/>
        </w:tabs>
        <w:jc w:val="both"/>
        <w:rPr>
          <w:color w:val="365F91"/>
        </w:rPr>
      </w:pPr>
      <w:r w:rsidRPr="00F76E78">
        <w:rPr>
          <w:color w:val="365F91"/>
        </w:rPr>
        <w:tab/>
      </w:r>
    </w:p>
    <w:p w:rsidR="00F76E78" w:rsidRDefault="00F76E78" w:rsidP="0072178D">
      <w:pPr>
        <w:pStyle w:val="Sangradetextonormal"/>
        <w:numPr>
          <w:ilvl w:val="0"/>
          <w:numId w:val="12"/>
        </w:numPr>
        <w:spacing w:after="120"/>
        <w:rPr>
          <w:rFonts w:ascii="Arial" w:hAnsi="Arial" w:cs="Arial"/>
          <w:b/>
          <w:bCs/>
        </w:rPr>
      </w:pPr>
      <w:r>
        <w:rPr>
          <w:rFonts w:ascii="Arial" w:hAnsi="Arial" w:cs="Arial"/>
          <w:b/>
          <w:bCs/>
        </w:rPr>
        <w:t>CAJA GENERAL (Fondos Especiales)</w:t>
      </w:r>
    </w:p>
    <w:p w:rsidR="006333F6" w:rsidRPr="002D306C" w:rsidRDefault="006333F6" w:rsidP="006333F6">
      <w:pPr>
        <w:pStyle w:val="Sangradetextonormal"/>
        <w:ind w:left="0"/>
        <w:rPr>
          <w:rFonts w:ascii="Arial" w:hAnsi="Arial" w:cs="Arial"/>
          <w:sz w:val="20"/>
        </w:rPr>
      </w:pPr>
      <w:r w:rsidRPr="002D306C">
        <w:rPr>
          <w:rFonts w:ascii="Arial" w:hAnsi="Arial" w:cs="Arial"/>
          <w:sz w:val="20"/>
        </w:rPr>
        <w:t xml:space="preserve">Son los ingresos por la venta de bienes y servicios del último día del mes y que se depositarán al día siguiente. </w:t>
      </w:r>
    </w:p>
    <w:p w:rsidR="0072178D" w:rsidRPr="0072178D" w:rsidRDefault="00F76E78" w:rsidP="0072178D">
      <w:pPr>
        <w:pStyle w:val="Sangradetextonormal"/>
        <w:spacing w:after="120"/>
        <w:ind w:left="720"/>
        <w:rPr>
          <w:rFonts w:ascii="Arial" w:hAnsi="Arial" w:cs="Arial"/>
        </w:rPr>
      </w:pPr>
      <w:r>
        <w:rPr>
          <w:rFonts w:ascii="Arial" w:hAnsi="Arial" w:cs="Arial"/>
          <w:b/>
          <w:bCs/>
        </w:rPr>
        <w:t xml:space="preserve">  </w:t>
      </w:r>
    </w:p>
    <w:p w:rsidR="00F76E78" w:rsidRDefault="00F76E78" w:rsidP="0072178D">
      <w:pPr>
        <w:pStyle w:val="Sangradetextonormal"/>
        <w:numPr>
          <w:ilvl w:val="0"/>
          <w:numId w:val="12"/>
        </w:numPr>
        <w:spacing w:after="120"/>
        <w:rPr>
          <w:rFonts w:ascii="Arial" w:hAnsi="Arial" w:cs="Arial"/>
        </w:rPr>
      </w:pPr>
      <w:r>
        <w:rPr>
          <w:rFonts w:ascii="Arial" w:hAnsi="Arial" w:cs="Arial"/>
          <w:b/>
          <w:bCs/>
        </w:rPr>
        <w:t>CAJA CHICA (Fondos Especiales)</w:t>
      </w:r>
    </w:p>
    <w:p w:rsidR="00F76E78" w:rsidRPr="002D306C" w:rsidRDefault="00F76E78" w:rsidP="0072178D">
      <w:pPr>
        <w:jc w:val="both"/>
        <w:rPr>
          <w:rFonts w:ascii="Arial" w:hAnsi="Arial" w:cs="Arial"/>
          <w:lang w:val="es-ES"/>
        </w:rPr>
      </w:pPr>
      <w:r w:rsidRPr="002D306C">
        <w:rPr>
          <w:rFonts w:ascii="Arial" w:hAnsi="Arial" w:cs="Arial"/>
          <w:lang w:val="es-ES"/>
        </w:rPr>
        <w:t>Los Fondos de Caja Chica están compuestos por 4 fondos los cuales son reintegrados periódicamente y se encuentran bajo la custodia de la persona encargada de bancos y el cajero:</w:t>
      </w:r>
    </w:p>
    <w:p w:rsidR="000D46D3" w:rsidRPr="002D306C" w:rsidRDefault="000D46D3" w:rsidP="0072178D">
      <w:pPr>
        <w:jc w:val="both"/>
        <w:rPr>
          <w:rFonts w:ascii="Arial" w:hAnsi="Arial" w:cs="Arial"/>
          <w:lang w:val="es-ES"/>
        </w:rPr>
      </w:pPr>
    </w:p>
    <w:p w:rsidR="00F76E78" w:rsidRDefault="00F76E78" w:rsidP="0072178D">
      <w:pPr>
        <w:numPr>
          <w:ilvl w:val="0"/>
          <w:numId w:val="13"/>
        </w:numPr>
        <w:spacing w:after="200"/>
        <w:jc w:val="both"/>
        <w:rPr>
          <w:rFonts w:ascii="Arial" w:hAnsi="Arial" w:cs="Arial"/>
          <w:lang w:val="es-CR"/>
        </w:rPr>
      </w:pPr>
      <w:r>
        <w:rPr>
          <w:rFonts w:ascii="Arial" w:hAnsi="Arial" w:cs="Arial"/>
          <w:lang w:val="es-CR"/>
        </w:rPr>
        <w:t>Fondo de la Dirección por la suma de ¢1,000,000.00, atiende  la adquisición de bienes y servicios indispensables para las operaciones de la institución de verdadera urgencia, cuyo pago se justifique fuera de los trámites ordinarios establecidos para las compras de bienes y servicios,  que no excedan  de ¢150,000.00 con autorización.</w:t>
      </w:r>
    </w:p>
    <w:p w:rsidR="00F76E78" w:rsidRDefault="00F76E78" w:rsidP="0072178D">
      <w:pPr>
        <w:numPr>
          <w:ilvl w:val="0"/>
          <w:numId w:val="13"/>
        </w:numPr>
        <w:spacing w:after="200"/>
        <w:jc w:val="both"/>
        <w:rPr>
          <w:rFonts w:ascii="Arial" w:hAnsi="Arial" w:cs="Arial"/>
          <w:lang w:val="es-CR"/>
        </w:rPr>
      </w:pPr>
      <w:r>
        <w:rPr>
          <w:rFonts w:ascii="Arial" w:hAnsi="Arial" w:cs="Arial"/>
          <w:lang w:val="es-CR"/>
        </w:rPr>
        <w:t>Fondo del cajero para cambio de moneda, en venta de bien</w:t>
      </w:r>
      <w:r w:rsidR="002A5B4D">
        <w:rPr>
          <w:rFonts w:ascii="Arial" w:hAnsi="Arial" w:cs="Arial"/>
          <w:lang w:val="es-CR"/>
        </w:rPr>
        <w:t>es y servicios por la suma de ¢113</w:t>
      </w:r>
      <w:r>
        <w:rPr>
          <w:rFonts w:ascii="Arial" w:hAnsi="Arial" w:cs="Arial"/>
          <w:lang w:val="es-CR"/>
        </w:rPr>
        <w:t>,</w:t>
      </w:r>
      <w:r w:rsidR="002A5B4D">
        <w:rPr>
          <w:rFonts w:ascii="Arial" w:hAnsi="Arial" w:cs="Arial"/>
          <w:lang w:val="es-CR"/>
        </w:rPr>
        <w:t>2</w:t>
      </w:r>
      <w:r>
        <w:rPr>
          <w:rFonts w:ascii="Arial" w:hAnsi="Arial" w:cs="Arial"/>
          <w:lang w:val="es-CR"/>
        </w:rPr>
        <w:t>00.00.</w:t>
      </w:r>
    </w:p>
    <w:p w:rsidR="00F76E78" w:rsidRDefault="00F76E78" w:rsidP="0072178D">
      <w:pPr>
        <w:numPr>
          <w:ilvl w:val="0"/>
          <w:numId w:val="13"/>
        </w:numPr>
        <w:spacing w:after="200"/>
        <w:jc w:val="both"/>
        <w:rPr>
          <w:rFonts w:ascii="Arial" w:hAnsi="Arial" w:cs="Arial"/>
          <w:lang w:val="es-CR"/>
        </w:rPr>
      </w:pPr>
      <w:r>
        <w:rPr>
          <w:rFonts w:ascii="Arial" w:hAnsi="Arial" w:cs="Arial"/>
          <w:lang w:val="es-CR"/>
        </w:rPr>
        <w:t>Fondo de Especies Fiscales: por la suma de ¢60,000.00 para cambios de moneda por venta de timbres.</w:t>
      </w:r>
    </w:p>
    <w:p w:rsidR="00F76E78" w:rsidRDefault="00F76E78" w:rsidP="0072178D">
      <w:pPr>
        <w:numPr>
          <w:ilvl w:val="0"/>
          <w:numId w:val="13"/>
        </w:numPr>
        <w:spacing w:after="200"/>
        <w:jc w:val="both"/>
        <w:rPr>
          <w:rFonts w:ascii="Arial" w:hAnsi="Arial" w:cs="Arial"/>
          <w:lang w:val="es-CR"/>
        </w:rPr>
      </w:pPr>
      <w:r>
        <w:rPr>
          <w:rFonts w:ascii="Arial" w:hAnsi="Arial" w:cs="Arial"/>
          <w:lang w:val="es-CR"/>
        </w:rPr>
        <w:t>Fondo para compra de timbres por un monto de ¢300,000.00.</w:t>
      </w:r>
    </w:p>
    <w:p w:rsidR="00F76E78" w:rsidRDefault="00F76E78" w:rsidP="0072178D">
      <w:pPr>
        <w:pStyle w:val="Sangradetextonormal"/>
        <w:numPr>
          <w:ilvl w:val="0"/>
          <w:numId w:val="12"/>
        </w:numPr>
        <w:spacing w:after="120"/>
        <w:rPr>
          <w:bCs/>
          <w:sz w:val="20"/>
        </w:rPr>
      </w:pPr>
      <w:r>
        <w:rPr>
          <w:rFonts w:ascii="Arial" w:hAnsi="Arial" w:cs="Arial"/>
          <w:b/>
          <w:bCs/>
        </w:rPr>
        <w:t>BANCOS</w:t>
      </w:r>
    </w:p>
    <w:p w:rsidR="00F76E78" w:rsidRPr="002D306C" w:rsidRDefault="000D46D3" w:rsidP="0072178D">
      <w:pPr>
        <w:jc w:val="both"/>
        <w:rPr>
          <w:rFonts w:ascii="Arial" w:hAnsi="Arial" w:cs="Arial"/>
          <w:lang w:val="es-ES"/>
        </w:rPr>
      </w:pPr>
      <w:r w:rsidRPr="002D306C">
        <w:rPr>
          <w:rFonts w:ascii="Arial" w:hAnsi="Arial" w:cs="Arial"/>
          <w:lang w:val="es-ES"/>
        </w:rPr>
        <w:t>Siete cuentas bancarias: seis</w:t>
      </w:r>
      <w:r w:rsidR="00F76E78" w:rsidRPr="002D306C">
        <w:rPr>
          <w:rFonts w:ascii="Arial" w:hAnsi="Arial" w:cs="Arial"/>
          <w:lang w:val="es-ES"/>
        </w:rPr>
        <w:t xml:space="preserve"> en colones y una en dólares, las cuales se encuentran en el Banco de Costa Rica y en la Tesorería Nacional del Ministerio de Hacienda (Caja Única), cuyos saldos al  3</w:t>
      </w:r>
      <w:r w:rsidR="00783754" w:rsidRPr="002D306C">
        <w:rPr>
          <w:rFonts w:ascii="Arial" w:hAnsi="Arial" w:cs="Arial"/>
          <w:lang w:val="es-ES"/>
        </w:rPr>
        <w:t>1</w:t>
      </w:r>
      <w:r w:rsidR="00F76E78" w:rsidRPr="002D306C">
        <w:rPr>
          <w:rFonts w:ascii="Arial" w:hAnsi="Arial" w:cs="Arial"/>
          <w:lang w:val="es-ES"/>
        </w:rPr>
        <w:t xml:space="preserve"> de </w:t>
      </w:r>
      <w:r w:rsidR="00783754" w:rsidRPr="002D306C">
        <w:rPr>
          <w:rFonts w:ascii="Arial" w:hAnsi="Arial" w:cs="Arial"/>
          <w:lang w:val="es-ES"/>
        </w:rPr>
        <w:t>diciembre</w:t>
      </w:r>
      <w:r w:rsidR="00845BE5" w:rsidRPr="002D306C">
        <w:rPr>
          <w:rFonts w:ascii="Arial" w:hAnsi="Arial" w:cs="Arial"/>
          <w:lang w:val="es-ES"/>
        </w:rPr>
        <w:t xml:space="preserve"> </w:t>
      </w:r>
      <w:r w:rsidR="00F76E78" w:rsidRPr="002D306C">
        <w:rPr>
          <w:rFonts w:ascii="Arial" w:hAnsi="Arial" w:cs="Arial"/>
          <w:lang w:val="es-ES"/>
        </w:rPr>
        <w:t>del 201</w:t>
      </w:r>
      <w:r w:rsidR="002A5B4D" w:rsidRPr="002D306C">
        <w:rPr>
          <w:rFonts w:ascii="Arial" w:hAnsi="Arial" w:cs="Arial"/>
          <w:lang w:val="es-ES"/>
        </w:rPr>
        <w:t>6</w:t>
      </w:r>
      <w:r w:rsidR="00F76E78" w:rsidRPr="002D306C">
        <w:rPr>
          <w:rFonts w:ascii="Arial" w:hAnsi="Arial" w:cs="Arial"/>
          <w:lang w:val="es-ES"/>
        </w:rPr>
        <w:t xml:space="preserve"> son los siguientes:</w:t>
      </w:r>
    </w:p>
    <w:p w:rsidR="00783754" w:rsidRPr="002D306C" w:rsidRDefault="00783754" w:rsidP="0072178D">
      <w:pPr>
        <w:jc w:val="both"/>
        <w:rPr>
          <w:rFonts w:ascii="Arial" w:hAnsi="Arial" w:cs="Arial"/>
          <w:lang w:val="es-ES"/>
        </w:rPr>
      </w:pPr>
    </w:p>
    <w:tbl>
      <w:tblPr>
        <w:tblW w:w="7080" w:type="dxa"/>
        <w:jc w:val="center"/>
        <w:tblCellMar>
          <w:left w:w="70" w:type="dxa"/>
          <w:right w:w="70" w:type="dxa"/>
        </w:tblCellMar>
        <w:tblLook w:val="04A0" w:firstRow="1" w:lastRow="0" w:firstColumn="1" w:lastColumn="0" w:noHBand="0" w:noVBand="1"/>
      </w:tblPr>
      <w:tblGrid>
        <w:gridCol w:w="5280"/>
        <w:gridCol w:w="1800"/>
      </w:tblGrid>
      <w:tr w:rsidR="00783754" w:rsidRPr="00381513" w:rsidTr="00783754">
        <w:trPr>
          <w:trHeight w:val="255"/>
          <w:jc w:val="center"/>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jc w:val="center"/>
              <w:rPr>
                <w:b/>
                <w:bCs/>
                <w:lang w:val="es-ES"/>
              </w:rPr>
            </w:pPr>
            <w:r w:rsidRPr="00381513">
              <w:rPr>
                <w:b/>
                <w:bCs/>
                <w:lang w:val="es-ES"/>
              </w:rPr>
              <w:t>CUENTA</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783754" w:rsidRPr="00381513" w:rsidRDefault="00783754" w:rsidP="00783754">
            <w:pPr>
              <w:jc w:val="center"/>
              <w:rPr>
                <w:b/>
                <w:bCs/>
                <w:lang w:val="es-ES"/>
              </w:rPr>
            </w:pPr>
            <w:r w:rsidRPr="00381513">
              <w:rPr>
                <w:b/>
                <w:bCs/>
                <w:lang w:val="es-ES"/>
              </w:rPr>
              <w:t>MONTO</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BCR Nº 10165305-9   Cuenta Principal en Colones</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6,848,288.91</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BCR Nº 10165307-5   Cuenta Timbres en Colones</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1,616,506.30</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BCR Nº 347364-3  Cuenta Garantías en Colones</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768.16</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Tesorería Nacional Nº 73900011233201011 Caja Única</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1,979,055,134.38</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Tesorería Nacional Nº 73911178021313628 Caja Única</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7,380,189.22</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Tesorería Nacional Nº 73911178021339021 Caja Única</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15,597,282.60</w:t>
            </w:r>
          </w:p>
        </w:tc>
      </w:tr>
      <w:tr w:rsidR="00783754" w:rsidRPr="00381513" w:rsidTr="00783754">
        <w:trPr>
          <w:trHeight w:val="255"/>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rPr>
                <w:lang w:val="es-ES"/>
              </w:rPr>
            </w:pPr>
            <w:r w:rsidRPr="00381513">
              <w:rPr>
                <w:lang w:val="es-ES"/>
              </w:rPr>
              <w:t>Cuenta BCR Nº 10165306-7   Cuenta Dólares</w:t>
            </w:r>
          </w:p>
        </w:tc>
        <w:tc>
          <w:tcPr>
            <w:tcW w:w="1800" w:type="dxa"/>
            <w:tcBorders>
              <w:top w:val="nil"/>
              <w:left w:val="nil"/>
              <w:bottom w:val="single" w:sz="4" w:space="0" w:color="auto"/>
              <w:right w:val="single" w:sz="4" w:space="0" w:color="auto"/>
            </w:tcBorders>
            <w:shd w:val="clear" w:color="000000" w:fill="FFFFFF"/>
            <w:noWrap/>
            <w:vAlign w:val="bottom"/>
            <w:hideMark/>
          </w:tcPr>
          <w:p w:rsidR="00783754" w:rsidRPr="00381513" w:rsidRDefault="00783754" w:rsidP="00783754">
            <w:pPr>
              <w:jc w:val="right"/>
              <w:rPr>
                <w:lang w:val="es-ES"/>
              </w:rPr>
            </w:pPr>
            <w:r w:rsidRPr="00381513">
              <w:rPr>
                <w:lang w:val="es-ES"/>
              </w:rPr>
              <w:t>30,956,820.97</w:t>
            </w:r>
          </w:p>
        </w:tc>
      </w:tr>
      <w:tr w:rsidR="00783754" w:rsidRPr="00381513" w:rsidTr="00783754">
        <w:trPr>
          <w:trHeight w:val="270"/>
          <w:jc w:val="center"/>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rsidR="00783754" w:rsidRPr="00381513" w:rsidRDefault="00783754" w:rsidP="00783754">
            <w:pPr>
              <w:jc w:val="center"/>
              <w:rPr>
                <w:b/>
                <w:bCs/>
                <w:lang w:val="es-ES"/>
              </w:rPr>
            </w:pPr>
            <w:r w:rsidRPr="00381513">
              <w:rPr>
                <w:b/>
                <w:bCs/>
                <w:lang w:val="es-ES"/>
              </w:rPr>
              <w:t>TOTAL</w:t>
            </w:r>
          </w:p>
        </w:tc>
        <w:tc>
          <w:tcPr>
            <w:tcW w:w="1800" w:type="dxa"/>
            <w:tcBorders>
              <w:top w:val="nil"/>
              <w:left w:val="nil"/>
              <w:bottom w:val="single" w:sz="4" w:space="0" w:color="auto"/>
              <w:right w:val="single" w:sz="4" w:space="0" w:color="auto"/>
            </w:tcBorders>
            <w:shd w:val="clear" w:color="auto" w:fill="auto"/>
            <w:noWrap/>
            <w:vAlign w:val="bottom"/>
            <w:hideMark/>
          </w:tcPr>
          <w:p w:rsidR="00783754" w:rsidRPr="00381513" w:rsidRDefault="00783754" w:rsidP="00783754">
            <w:pPr>
              <w:jc w:val="right"/>
              <w:rPr>
                <w:b/>
                <w:bCs/>
                <w:lang w:val="es-ES"/>
              </w:rPr>
            </w:pPr>
            <w:r w:rsidRPr="00381513">
              <w:rPr>
                <w:b/>
                <w:bCs/>
                <w:lang w:val="es-ES"/>
              </w:rPr>
              <w:t>2,041,454,990.54</w:t>
            </w:r>
          </w:p>
        </w:tc>
      </w:tr>
    </w:tbl>
    <w:p w:rsidR="000D46D3" w:rsidRDefault="000D46D3" w:rsidP="0072178D">
      <w:pPr>
        <w:jc w:val="both"/>
        <w:rPr>
          <w:rFonts w:ascii="Arial" w:hAnsi="Arial" w:cs="Arial"/>
        </w:rPr>
      </w:pPr>
    </w:p>
    <w:p w:rsidR="006468FB" w:rsidRDefault="006468FB" w:rsidP="0072178D">
      <w:pPr>
        <w:jc w:val="both"/>
        <w:rPr>
          <w:rFonts w:ascii="Arial" w:hAnsi="Arial" w:cs="Arial"/>
        </w:rPr>
      </w:pPr>
    </w:p>
    <w:bookmarkStart w:id="0" w:name="_MON_1466571159"/>
    <w:bookmarkStart w:id="1" w:name="_MON_1490593610"/>
    <w:bookmarkStart w:id="2" w:name="_MON_1506404547"/>
    <w:bookmarkStart w:id="3" w:name="_MON_1490593760"/>
    <w:bookmarkStart w:id="4" w:name="_MON_1474884413"/>
    <w:bookmarkStart w:id="5" w:name="_MON_1483873498"/>
    <w:bookmarkStart w:id="6" w:name="_MON_1458468327"/>
    <w:bookmarkEnd w:id="0"/>
    <w:bookmarkEnd w:id="1"/>
    <w:bookmarkEnd w:id="2"/>
    <w:bookmarkEnd w:id="3"/>
    <w:bookmarkEnd w:id="4"/>
    <w:bookmarkEnd w:id="5"/>
    <w:bookmarkEnd w:id="6"/>
    <w:bookmarkStart w:id="7" w:name="_MON_1498299811"/>
    <w:bookmarkEnd w:id="7"/>
    <w:p w:rsidR="00F76E78" w:rsidRDefault="00783754" w:rsidP="0072178D">
      <w:pPr>
        <w:jc w:val="both"/>
        <w:rPr>
          <w:rFonts w:ascii="Arial" w:hAnsi="Arial" w:cs="Arial"/>
        </w:rPr>
      </w:pPr>
      <w:r w:rsidRPr="009164C7">
        <w:rPr>
          <w:rFonts w:ascii="Candara" w:hAnsi="Candara" w:cs="Arial"/>
          <w:color w:val="000000"/>
          <w:sz w:val="24"/>
          <w:szCs w:val="24"/>
        </w:rPr>
        <w:object w:dxaOrig="10187" w:dyaOrig="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91.5pt" o:ole="">
            <v:imagedata r:id="rId8" o:title=""/>
          </v:shape>
          <o:OLEObject Type="Embed" ProgID="Excel.Sheet.12" ShapeID="_x0000_i1025" DrawAspect="Content" ObjectID="_1554906101" r:id="rId9"/>
        </w:object>
      </w:r>
      <w:bookmarkStart w:id="8" w:name="_MON_1410521814"/>
      <w:bookmarkStart w:id="9" w:name="_MON_1420954700"/>
      <w:bookmarkEnd w:id="8"/>
      <w:bookmarkEnd w:id="9"/>
    </w:p>
    <w:p w:rsidR="00F76E78" w:rsidRPr="002D306C" w:rsidRDefault="002A5B4D" w:rsidP="0072178D">
      <w:pPr>
        <w:jc w:val="both"/>
        <w:rPr>
          <w:rFonts w:ascii="Arial" w:hAnsi="Arial" w:cs="Arial"/>
          <w:lang w:val="es-ES"/>
        </w:rPr>
      </w:pPr>
      <w:r w:rsidRPr="002D306C">
        <w:rPr>
          <w:rFonts w:ascii="Arial" w:hAnsi="Arial" w:cs="Arial"/>
          <w:lang w:val="es-ES"/>
        </w:rPr>
        <w:t>Las variaciones generadas</w:t>
      </w:r>
      <w:r w:rsidR="00F76E78" w:rsidRPr="002D306C">
        <w:rPr>
          <w:rFonts w:ascii="Arial" w:hAnsi="Arial" w:cs="Arial"/>
          <w:lang w:val="es-ES"/>
        </w:rPr>
        <w:t xml:space="preserve"> en esta</w:t>
      </w:r>
      <w:r w:rsidRPr="002D306C">
        <w:rPr>
          <w:rFonts w:ascii="Arial" w:hAnsi="Arial" w:cs="Arial"/>
          <w:lang w:val="es-ES"/>
        </w:rPr>
        <w:t>s</w:t>
      </w:r>
      <w:r w:rsidR="00F76E78" w:rsidRPr="002D306C">
        <w:rPr>
          <w:rFonts w:ascii="Arial" w:hAnsi="Arial" w:cs="Arial"/>
          <w:lang w:val="es-ES"/>
        </w:rPr>
        <w:t xml:space="preserve"> partida</w:t>
      </w:r>
      <w:r w:rsidRPr="002D306C">
        <w:rPr>
          <w:rFonts w:ascii="Arial" w:hAnsi="Arial" w:cs="Arial"/>
          <w:lang w:val="es-ES"/>
        </w:rPr>
        <w:t>s</w:t>
      </w:r>
      <w:r w:rsidR="00F76E78" w:rsidRPr="002D306C">
        <w:rPr>
          <w:rFonts w:ascii="Arial" w:hAnsi="Arial" w:cs="Arial"/>
          <w:lang w:val="es-ES"/>
        </w:rPr>
        <w:t xml:space="preserve"> corresponde principalmente a los movimientos normales de operación</w:t>
      </w:r>
      <w:r w:rsidR="00F76E78" w:rsidRPr="002D306C">
        <w:rPr>
          <w:lang w:val="es-ES"/>
        </w:rPr>
        <w:t xml:space="preserve"> </w:t>
      </w:r>
      <w:r w:rsidR="00F76E78" w:rsidRPr="002D306C">
        <w:rPr>
          <w:rFonts w:ascii="Arial" w:hAnsi="Arial" w:cs="Arial"/>
          <w:lang w:val="es-ES"/>
        </w:rPr>
        <w:t>entre los ingresos, inversiones generadas en el mes menos los gastos que generan salida real de efectivo.</w:t>
      </w:r>
    </w:p>
    <w:p w:rsidR="00F76E78" w:rsidRPr="002D306C" w:rsidRDefault="007239FB" w:rsidP="006468FB">
      <w:pPr>
        <w:rPr>
          <w:color w:val="365F91"/>
          <w:lang w:val="es-ES"/>
        </w:rPr>
      </w:pPr>
      <w:r w:rsidRPr="002D306C">
        <w:rPr>
          <w:color w:val="365F91"/>
          <w:lang w:val="es-ES"/>
        </w:rPr>
        <w:br w:type="page"/>
      </w:r>
      <w:r w:rsidR="00F76E78" w:rsidRPr="006468FB">
        <w:rPr>
          <w:b/>
          <w:bCs/>
          <w:color w:val="365F91"/>
          <w:sz w:val="24"/>
          <w:lang w:val="es-ES"/>
        </w:rPr>
        <w:lastRenderedPageBreak/>
        <w:t>NOTA No. 4 - Cuentas por Cobrar corto plazo</w:t>
      </w:r>
    </w:p>
    <w:p w:rsidR="00D17BFF" w:rsidRPr="00D17BFF" w:rsidRDefault="00D17BFF" w:rsidP="00D17BFF">
      <w:pPr>
        <w:rPr>
          <w:lang w:val="es-ES"/>
        </w:rPr>
      </w:pPr>
    </w:p>
    <w:p w:rsidR="002A5B4D" w:rsidRDefault="00F76E78" w:rsidP="006468FB">
      <w:pPr>
        <w:jc w:val="both"/>
        <w:rPr>
          <w:rFonts w:ascii="Arial" w:hAnsi="Arial" w:cs="Arial"/>
          <w:lang w:val="es-CR"/>
        </w:rPr>
      </w:pPr>
      <w:r>
        <w:rPr>
          <w:rFonts w:ascii="Arial" w:hAnsi="Arial" w:cs="Arial"/>
          <w:lang w:val="es-CR"/>
        </w:rPr>
        <w:t xml:space="preserve">Corresponde a cuentas por cobrar provenientes de ingresos por cobrar pendientes al </w:t>
      </w:r>
      <w:r w:rsidR="002A5B4D">
        <w:rPr>
          <w:rFonts w:ascii="Arial" w:hAnsi="Arial" w:cs="Arial"/>
          <w:lang w:val="es-CR"/>
        </w:rPr>
        <w:t xml:space="preserve"> 3</w:t>
      </w:r>
      <w:r w:rsidR="004C188E">
        <w:rPr>
          <w:rFonts w:ascii="Arial" w:hAnsi="Arial" w:cs="Arial"/>
          <w:lang w:val="es-CR"/>
        </w:rPr>
        <w:t>1</w:t>
      </w:r>
      <w:r w:rsidR="002A5B4D">
        <w:rPr>
          <w:rFonts w:ascii="Arial" w:hAnsi="Arial" w:cs="Arial"/>
          <w:lang w:val="es-CR"/>
        </w:rPr>
        <w:t xml:space="preserve"> de </w:t>
      </w:r>
      <w:r w:rsidR="004C188E">
        <w:rPr>
          <w:rFonts w:ascii="Arial" w:hAnsi="Arial" w:cs="Arial"/>
          <w:lang w:val="es-CR"/>
        </w:rPr>
        <w:t>dici</w:t>
      </w:r>
      <w:r w:rsidR="006468FB">
        <w:rPr>
          <w:rFonts w:ascii="Arial" w:hAnsi="Arial" w:cs="Arial"/>
          <w:lang w:val="es-CR"/>
        </w:rPr>
        <w:t>embre</w:t>
      </w:r>
      <w:r w:rsidR="00D17BFF">
        <w:rPr>
          <w:rFonts w:ascii="Arial" w:hAnsi="Arial" w:cs="Arial"/>
          <w:lang w:val="es-CR"/>
        </w:rPr>
        <w:t xml:space="preserve"> </w:t>
      </w:r>
      <w:r w:rsidR="00845BE5">
        <w:rPr>
          <w:rFonts w:ascii="Arial" w:hAnsi="Arial" w:cs="Arial"/>
          <w:lang w:val="es-CR"/>
        </w:rPr>
        <w:t>del</w:t>
      </w:r>
      <w:r w:rsidR="002A5B4D">
        <w:rPr>
          <w:rFonts w:ascii="Arial" w:hAnsi="Arial" w:cs="Arial"/>
          <w:lang w:val="es-CR"/>
        </w:rPr>
        <w:t xml:space="preserve"> 2016</w:t>
      </w:r>
      <w:r>
        <w:rPr>
          <w:rFonts w:ascii="Arial" w:hAnsi="Arial" w:cs="Arial"/>
          <w:lang w:val="es-CR"/>
        </w:rPr>
        <w:t xml:space="preserve">. </w:t>
      </w:r>
    </w:p>
    <w:p w:rsidR="006468FB" w:rsidRDefault="006468FB" w:rsidP="006468FB">
      <w:pPr>
        <w:jc w:val="both"/>
        <w:rPr>
          <w:rFonts w:ascii="Arial" w:hAnsi="Arial" w:cs="Arial"/>
          <w:lang w:val="es-CR"/>
        </w:rPr>
      </w:pPr>
    </w:p>
    <w:p w:rsidR="004C188E" w:rsidRDefault="004C188E" w:rsidP="004C188E">
      <w:pPr>
        <w:ind w:left="786"/>
        <w:jc w:val="center"/>
        <w:rPr>
          <w:b/>
          <w:sz w:val="25"/>
          <w:szCs w:val="25"/>
          <w:lang w:val="es-ES"/>
        </w:rPr>
      </w:pPr>
    </w:p>
    <w:tbl>
      <w:tblPr>
        <w:tblW w:w="6720" w:type="dxa"/>
        <w:jc w:val="center"/>
        <w:tblCellMar>
          <w:left w:w="70" w:type="dxa"/>
          <w:right w:w="70" w:type="dxa"/>
        </w:tblCellMar>
        <w:tblLook w:val="04A0" w:firstRow="1" w:lastRow="0" w:firstColumn="1" w:lastColumn="0" w:noHBand="0" w:noVBand="1"/>
      </w:tblPr>
      <w:tblGrid>
        <w:gridCol w:w="5160"/>
        <w:gridCol w:w="1560"/>
      </w:tblGrid>
      <w:tr w:rsidR="004C188E" w:rsidRPr="00A50943" w:rsidTr="00B1435E">
        <w:trPr>
          <w:trHeight w:val="270"/>
          <w:jc w:val="center"/>
        </w:trPr>
        <w:tc>
          <w:tcPr>
            <w:tcW w:w="5160" w:type="dxa"/>
            <w:tcBorders>
              <w:top w:val="single" w:sz="8" w:space="0" w:color="auto"/>
              <w:left w:val="single" w:sz="8" w:space="0" w:color="auto"/>
              <w:bottom w:val="single" w:sz="8" w:space="0" w:color="auto"/>
              <w:right w:val="nil"/>
            </w:tcBorders>
            <w:shd w:val="clear" w:color="000000" w:fill="FFFFFF"/>
            <w:noWrap/>
            <w:vAlign w:val="bottom"/>
            <w:hideMark/>
          </w:tcPr>
          <w:p w:rsidR="004C188E" w:rsidRPr="00A50943" w:rsidRDefault="004C188E" w:rsidP="00B1435E">
            <w:pPr>
              <w:jc w:val="center"/>
              <w:rPr>
                <w:b/>
                <w:bCs/>
                <w:lang w:val="es-ES"/>
              </w:rPr>
            </w:pPr>
            <w:r w:rsidRPr="00A50943">
              <w:rPr>
                <w:b/>
                <w:bCs/>
                <w:lang w:val="es-ES"/>
              </w:rPr>
              <w:t>DEUDOR</w:t>
            </w:r>
          </w:p>
        </w:tc>
        <w:tc>
          <w:tcPr>
            <w:tcW w:w="156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4C188E" w:rsidRPr="00A50943" w:rsidRDefault="004C188E" w:rsidP="00B1435E">
            <w:pPr>
              <w:jc w:val="center"/>
              <w:rPr>
                <w:b/>
                <w:bCs/>
                <w:lang w:val="es-ES"/>
              </w:rPr>
            </w:pPr>
            <w:r w:rsidRPr="00A50943">
              <w:rPr>
                <w:b/>
                <w:bCs/>
                <w:lang w:val="es-ES"/>
              </w:rPr>
              <w:t>SALDO</w:t>
            </w:r>
          </w:p>
        </w:tc>
      </w:tr>
      <w:tr w:rsidR="004C188E" w:rsidRPr="00A50943" w:rsidTr="00B1435E">
        <w:trPr>
          <w:trHeight w:val="255"/>
          <w:jc w:val="center"/>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rsidR="004C188E" w:rsidRPr="00A50943" w:rsidRDefault="004C188E" w:rsidP="00B1435E">
            <w:pPr>
              <w:rPr>
                <w:lang w:val="es-ES"/>
              </w:rPr>
            </w:pPr>
            <w:r>
              <w:rPr>
                <w:lang w:val="es-ES"/>
              </w:rPr>
              <w:t>Banco de Costa Rica</w:t>
            </w:r>
          </w:p>
        </w:tc>
        <w:tc>
          <w:tcPr>
            <w:tcW w:w="1560" w:type="dxa"/>
            <w:tcBorders>
              <w:top w:val="nil"/>
              <w:left w:val="nil"/>
              <w:bottom w:val="single" w:sz="4" w:space="0" w:color="auto"/>
              <w:right w:val="single" w:sz="4" w:space="0" w:color="auto"/>
            </w:tcBorders>
            <w:shd w:val="clear" w:color="auto" w:fill="auto"/>
            <w:noWrap/>
            <w:vAlign w:val="bottom"/>
            <w:hideMark/>
          </w:tcPr>
          <w:p w:rsidR="004C188E" w:rsidRPr="00A50943" w:rsidRDefault="004C188E" w:rsidP="00B1435E">
            <w:pPr>
              <w:jc w:val="right"/>
              <w:rPr>
                <w:lang w:val="es-ES"/>
              </w:rPr>
            </w:pPr>
            <w:r>
              <w:rPr>
                <w:lang w:val="es-ES"/>
              </w:rPr>
              <w:t>5,990,146.03</w:t>
            </w:r>
          </w:p>
        </w:tc>
      </w:tr>
      <w:tr w:rsidR="004C188E" w:rsidRPr="00B33D73" w:rsidTr="004C188E">
        <w:trPr>
          <w:trHeight w:val="270"/>
          <w:jc w:val="center"/>
        </w:trPr>
        <w:tc>
          <w:tcPr>
            <w:tcW w:w="5160" w:type="dxa"/>
            <w:tcBorders>
              <w:top w:val="single" w:sz="8" w:space="0" w:color="auto"/>
              <w:left w:val="single" w:sz="8" w:space="0" w:color="auto"/>
              <w:bottom w:val="single" w:sz="8" w:space="0" w:color="auto"/>
              <w:right w:val="nil"/>
            </w:tcBorders>
            <w:shd w:val="clear" w:color="000000" w:fill="FFFFFF"/>
            <w:noWrap/>
            <w:vAlign w:val="bottom"/>
            <w:hideMark/>
          </w:tcPr>
          <w:p w:rsidR="004C188E" w:rsidRPr="004C188E" w:rsidRDefault="004C188E" w:rsidP="00B1435E">
            <w:pPr>
              <w:rPr>
                <w:lang w:val="es-ES"/>
              </w:rPr>
            </w:pPr>
            <w:r w:rsidRPr="004C188E">
              <w:rPr>
                <w:lang w:val="es-ES"/>
              </w:rPr>
              <w:t>Tribunal Contencioso Administrativo</w:t>
            </w:r>
          </w:p>
        </w:tc>
        <w:tc>
          <w:tcPr>
            <w:tcW w:w="156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4C188E" w:rsidRPr="004C188E" w:rsidRDefault="004C188E" w:rsidP="00B1435E">
            <w:pPr>
              <w:jc w:val="right"/>
              <w:rPr>
                <w:lang w:val="es-ES"/>
              </w:rPr>
            </w:pPr>
            <w:r w:rsidRPr="004C188E">
              <w:rPr>
                <w:lang w:val="es-ES"/>
              </w:rPr>
              <w:t>527,500.00</w:t>
            </w:r>
          </w:p>
        </w:tc>
      </w:tr>
      <w:tr w:rsidR="004C188E" w:rsidRPr="00A50943" w:rsidTr="004C188E">
        <w:trPr>
          <w:trHeight w:val="270"/>
          <w:jc w:val="center"/>
        </w:trPr>
        <w:tc>
          <w:tcPr>
            <w:tcW w:w="5160" w:type="dxa"/>
            <w:tcBorders>
              <w:top w:val="single" w:sz="8" w:space="0" w:color="auto"/>
              <w:left w:val="single" w:sz="8" w:space="0" w:color="auto"/>
              <w:bottom w:val="single" w:sz="8" w:space="0" w:color="auto"/>
              <w:right w:val="nil"/>
            </w:tcBorders>
            <w:shd w:val="clear" w:color="000000" w:fill="FFFFFF"/>
            <w:noWrap/>
            <w:vAlign w:val="bottom"/>
            <w:hideMark/>
          </w:tcPr>
          <w:p w:rsidR="004C188E" w:rsidRPr="004C188E" w:rsidRDefault="004C188E" w:rsidP="00B1435E">
            <w:pPr>
              <w:rPr>
                <w:b/>
                <w:lang w:val="es-ES"/>
              </w:rPr>
            </w:pPr>
            <w:r w:rsidRPr="004C188E">
              <w:rPr>
                <w:b/>
                <w:lang w:val="es-ES"/>
              </w:rPr>
              <w:t>TOTAL COLONES</w:t>
            </w:r>
          </w:p>
        </w:tc>
        <w:tc>
          <w:tcPr>
            <w:tcW w:w="1560"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4C188E" w:rsidRPr="004C188E" w:rsidRDefault="004C188E" w:rsidP="004C188E">
            <w:pPr>
              <w:jc w:val="right"/>
              <w:rPr>
                <w:b/>
                <w:lang w:val="es-ES"/>
              </w:rPr>
            </w:pPr>
            <w:r>
              <w:rPr>
                <w:b/>
                <w:lang w:val="es-ES"/>
              </w:rPr>
              <w:t>6</w:t>
            </w:r>
            <w:r w:rsidRPr="004C188E">
              <w:rPr>
                <w:b/>
                <w:lang w:val="es-ES"/>
              </w:rPr>
              <w:t>,</w:t>
            </w:r>
            <w:r>
              <w:rPr>
                <w:b/>
                <w:lang w:val="es-ES"/>
              </w:rPr>
              <w:t>517</w:t>
            </w:r>
            <w:r w:rsidRPr="004C188E">
              <w:rPr>
                <w:b/>
                <w:lang w:val="es-ES"/>
              </w:rPr>
              <w:t>,</w:t>
            </w:r>
            <w:r>
              <w:rPr>
                <w:b/>
                <w:lang w:val="es-ES"/>
              </w:rPr>
              <w:t>646</w:t>
            </w:r>
            <w:r w:rsidRPr="004C188E">
              <w:rPr>
                <w:b/>
                <w:lang w:val="es-ES"/>
              </w:rPr>
              <w:t>.03</w:t>
            </w:r>
          </w:p>
        </w:tc>
      </w:tr>
    </w:tbl>
    <w:p w:rsidR="004C188E" w:rsidRDefault="004C188E" w:rsidP="006468FB">
      <w:pPr>
        <w:jc w:val="both"/>
        <w:rPr>
          <w:rFonts w:ascii="Arial" w:hAnsi="Arial" w:cs="Arial"/>
          <w:lang w:val="es-CR"/>
        </w:rPr>
      </w:pPr>
    </w:p>
    <w:p w:rsidR="006468FB" w:rsidRDefault="006468FB" w:rsidP="006468FB">
      <w:pPr>
        <w:jc w:val="both"/>
        <w:rPr>
          <w:rFonts w:ascii="Arial" w:hAnsi="Arial" w:cs="Arial"/>
          <w:lang w:val="es-CR"/>
        </w:rPr>
      </w:pPr>
    </w:p>
    <w:bookmarkStart w:id="10" w:name="_MON_1506404721"/>
    <w:bookmarkStart w:id="11" w:name="_MON_1458468456"/>
    <w:bookmarkStart w:id="12" w:name="_MON_1466571242"/>
    <w:bookmarkStart w:id="13" w:name="_MON_1498299867"/>
    <w:bookmarkStart w:id="14" w:name="_MON_1490593813"/>
    <w:bookmarkStart w:id="15" w:name="_MON_1474884774"/>
    <w:bookmarkEnd w:id="10"/>
    <w:bookmarkEnd w:id="11"/>
    <w:bookmarkEnd w:id="12"/>
    <w:bookmarkEnd w:id="13"/>
    <w:bookmarkEnd w:id="14"/>
    <w:bookmarkEnd w:id="15"/>
    <w:bookmarkStart w:id="16" w:name="_MON_1506404628"/>
    <w:bookmarkEnd w:id="16"/>
    <w:p w:rsidR="00F76E78" w:rsidRDefault="004C188E"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26" type="#_x0000_t75" style="width:508.5pt;height:82.5pt" o:ole="">
            <v:imagedata r:id="rId10" o:title=""/>
          </v:shape>
          <o:OLEObject Type="Embed" ProgID="Excel.Sheet.12" ShapeID="_x0000_i1026" DrawAspect="Content" ObjectID="_1554906102" r:id="rId11"/>
        </w:object>
      </w:r>
    </w:p>
    <w:p w:rsidR="00F76E78" w:rsidRPr="002A5B4D" w:rsidRDefault="002A5B4D" w:rsidP="0072178D">
      <w:pPr>
        <w:jc w:val="both"/>
        <w:rPr>
          <w:rFonts w:ascii="Arial" w:hAnsi="Arial" w:cs="Arial"/>
          <w:lang w:val="es-CR"/>
        </w:rPr>
      </w:pPr>
      <w:r w:rsidRPr="002A5B4D">
        <w:rPr>
          <w:rFonts w:ascii="Arial" w:hAnsi="Arial" w:cs="Arial"/>
          <w:lang w:val="es-CR"/>
        </w:rPr>
        <w:t xml:space="preserve">El aumento corresponde </w:t>
      </w:r>
      <w:r w:rsidR="004C188E">
        <w:rPr>
          <w:rFonts w:ascii="Arial" w:hAnsi="Arial" w:cs="Arial"/>
          <w:lang w:val="es-CR"/>
        </w:rPr>
        <w:t>a depósitos pendientes por ventas de timbres electrónicos.</w:t>
      </w:r>
    </w:p>
    <w:p w:rsidR="0072178D" w:rsidRDefault="0072178D" w:rsidP="0072178D">
      <w:pPr>
        <w:pStyle w:val="Ttulo3"/>
        <w:jc w:val="both"/>
        <w:rPr>
          <w:color w:val="365F91"/>
        </w:rPr>
      </w:pPr>
    </w:p>
    <w:p w:rsidR="00F76E78" w:rsidRDefault="00F76E78" w:rsidP="0072178D">
      <w:pPr>
        <w:pStyle w:val="Ttulo3"/>
        <w:jc w:val="both"/>
        <w:rPr>
          <w:color w:val="365F91"/>
        </w:rPr>
      </w:pPr>
      <w:r w:rsidRPr="00F76E78">
        <w:rPr>
          <w:color w:val="365F91"/>
        </w:rPr>
        <w:t xml:space="preserve">NOTA No. 5 - Provisión Cobranza Dudosa </w:t>
      </w:r>
    </w:p>
    <w:p w:rsidR="00D17BFF" w:rsidRPr="00D17BFF" w:rsidRDefault="00D17BFF" w:rsidP="00D17BFF">
      <w:pPr>
        <w:rPr>
          <w:lang w:val="es-ES"/>
        </w:rPr>
      </w:pPr>
    </w:p>
    <w:p w:rsidR="00F76E78" w:rsidRDefault="00F76E78" w:rsidP="0072178D">
      <w:pPr>
        <w:jc w:val="both"/>
        <w:rPr>
          <w:rFonts w:ascii="Arial" w:hAnsi="Arial" w:cs="Arial"/>
          <w:lang w:val="es-CR"/>
        </w:rPr>
      </w:pPr>
      <w:r>
        <w:rPr>
          <w:rFonts w:ascii="Arial" w:hAnsi="Arial" w:cs="Arial"/>
          <w:lang w:val="es-CR"/>
        </w:rPr>
        <w:t>Corresponde a una estimación para incobrables, calculando el 2% sobre las Cuentas</w:t>
      </w:r>
      <w:r w:rsidR="00845BE5">
        <w:rPr>
          <w:rFonts w:ascii="Arial" w:hAnsi="Arial" w:cs="Arial"/>
          <w:lang w:val="es-CR"/>
        </w:rPr>
        <w:t xml:space="preserve"> por Cobrar del mes de </w:t>
      </w:r>
      <w:r w:rsidR="004C188E">
        <w:rPr>
          <w:rFonts w:ascii="Arial" w:hAnsi="Arial" w:cs="Arial"/>
          <w:lang w:val="es-CR"/>
        </w:rPr>
        <w:t>dici</w:t>
      </w:r>
      <w:r w:rsidR="006468FB">
        <w:rPr>
          <w:rFonts w:ascii="Arial" w:hAnsi="Arial" w:cs="Arial"/>
          <w:lang w:val="es-CR"/>
        </w:rPr>
        <w:t>embre</w:t>
      </w:r>
      <w:r w:rsidR="002A5B4D">
        <w:rPr>
          <w:rFonts w:ascii="Arial" w:hAnsi="Arial" w:cs="Arial"/>
          <w:lang w:val="es-CR"/>
        </w:rPr>
        <w:t xml:space="preserve"> del 2016</w:t>
      </w:r>
      <w:r>
        <w:rPr>
          <w:rFonts w:ascii="Arial" w:hAnsi="Arial" w:cs="Arial"/>
          <w:lang w:val="es-CR"/>
        </w:rPr>
        <w:t>.</w:t>
      </w:r>
    </w:p>
    <w:p w:rsidR="00F76E78" w:rsidRPr="002D306C" w:rsidRDefault="00F76E78" w:rsidP="0072178D">
      <w:pPr>
        <w:jc w:val="both"/>
        <w:rPr>
          <w:rFonts w:ascii="Candara" w:hAnsi="Candara" w:cs="Arial"/>
          <w:color w:val="000000"/>
          <w:sz w:val="24"/>
          <w:szCs w:val="24"/>
          <w:lang w:val="es-ES"/>
        </w:rPr>
      </w:pPr>
    </w:p>
    <w:bookmarkStart w:id="17" w:name="_MON_1483873621"/>
    <w:bookmarkStart w:id="18" w:name="_MON_1498299973"/>
    <w:bookmarkStart w:id="19" w:name="_MON_1483873641"/>
    <w:bookmarkStart w:id="20" w:name="_MON_1466571336"/>
    <w:bookmarkStart w:id="21" w:name="_MON_1506404795"/>
    <w:bookmarkStart w:id="22" w:name="_MON_1458468565"/>
    <w:bookmarkStart w:id="23" w:name="_MON_1490593867"/>
    <w:bookmarkStart w:id="24" w:name="_MON_1466571327"/>
    <w:bookmarkEnd w:id="17"/>
    <w:bookmarkEnd w:id="18"/>
    <w:bookmarkEnd w:id="19"/>
    <w:bookmarkEnd w:id="20"/>
    <w:bookmarkEnd w:id="21"/>
    <w:bookmarkEnd w:id="22"/>
    <w:bookmarkEnd w:id="23"/>
    <w:bookmarkEnd w:id="24"/>
    <w:bookmarkStart w:id="25" w:name="_MON_1474884832"/>
    <w:bookmarkEnd w:id="25"/>
    <w:p w:rsidR="00F76E78" w:rsidRDefault="004C188E" w:rsidP="0072178D">
      <w:pPr>
        <w:jc w:val="both"/>
        <w:rPr>
          <w:rFonts w:ascii="Arial" w:hAnsi="Arial" w:cs="Arial"/>
        </w:rPr>
      </w:pPr>
      <w:r w:rsidRPr="009164C7">
        <w:rPr>
          <w:rFonts w:ascii="Candara" w:hAnsi="Candara" w:cs="Arial"/>
          <w:color w:val="000000"/>
          <w:sz w:val="24"/>
          <w:szCs w:val="24"/>
        </w:rPr>
        <w:object w:dxaOrig="10234" w:dyaOrig="1496">
          <v:shape id="_x0000_i1027" type="#_x0000_t75" style="width:511.5pt;height:82.5pt" o:ole="">
            <v:imagedata r:id="rId12" o:title=""/>
          </v:shape>
          <o:OLEObject Type="Embed" ProgID="Excel.Sheet.12" ShapeID="_x0000_i1027" DrawAspect="Content" ObjectID="_1554906103" r:id="rId13"/>
        </w:object>
      </w:r>
    </w:p>
    <w:p w:rsidR="00F76E78" w:rsidRPr="002D306C" w:rsidRDefault="002A5B4D" w:rsidP="0072178D">
      <w:pPr>
        <w:jc w:val="both"/>
        <w:rPr>
          <w:rFonts w:ascii="Arial" w:hAnsi="Arial" w:cs="Arial"/>
          <w:lang w:val="es-ES"/>
        </w:rPr>
      </w:pPr>
      <w:r w:rsidRPr="002D306C">
        <w:rPr>
          <w:rFonts w:ascii="Arial" w:hAnsi="Arial" w:cs="Arial"/>
          <w:lang w:val="es-ES"/>
        </w:rPr>
        <w:t>El aumento corresponde por el aumento que se dio en las cuentas por cobrar.</w:t>
      </w:r>
    </w:p>
    <w:p w:rsidR="0072178D" w:rsidRDefault="0072178D" w:rsidP="0072178D">
      <w:pPr>
        <w:pStyle w:val="Ttulo3"/>
        <w:jc w:val="both"/>
        <w:rPr>
          <w:color w:val="365F91"/>
        </w:rPr>
      </w:pPr>
    </w:p>
    <w:p w:rsidR="00F76E78" w:rsidRDefault="00F76E78" w:rsidP="0072178D">
      <w:pPr>
        <w:pStyle w:val="Ttulo3"/>
        <w:jc w:val="both"/>
        <w:rPr>
          <w:color w:val="365F91"/>
        </w:rPr>
      </w:pPr>
      <w:r w:rsidRPr="00F76E78">
        <w:rPr>
          <w:color w:val="365F91"/>
        </w:rPr>
        <w:t>NOTA No. 6 - Existencias (Inventarios)</w:t>
      </w:r>
    </w:p>
    <w:p w:rsidR="0072178D" w:rsidRPr="0072178D" w:rsidRDefault="0072178D" w:rsidP="0072178D">
      <w:pPr>
        <w:jc w:val="both"/>
        <w:rPr>
          <w:lang w:val="es-ES"/>
        </w:rPr>
      </w:pPr>
    </w:p>
    <w:p w:rsidR="00F76E78" w:rsidRPr="002D306C" w:rsidRDefault="00F76E78" w:rsidP="0072178D">
      <w:pPr>
        <w:jc w:val="both"/>
        <w:rPr>
          <w:rFonts w:ascii="Arial" w:hAnsi="Arial" w:cs="Arial"/>
          <w:b/>
          <w:bCs/>
          <w:color w:val="948A54"/>
          <w:sz w:val="28"/>
          <w:szCs w:val="28"/>
          <w:lang w:val="es-ES"/>
        </w:rPr>
      </w:pPr>
      <w:r w:rsidRPr="002D306C">
        <w:rPr>
          <w:rFonts w:ascii="Arial" w:hAnsi="Arial" w:cs="Arial"/>
          <w:b/>
          <w:bCs/>
          <w:color w:val="948A54"/>
          <w:sz w:val="28"/>
          <w:szCs w:val="28"/>
          <w:lang w:val="es-ES"/>
        </w:rPr>
        <w:t>INVENTARIO ESPECIES FISCALES</w:t>
      </w:r>
      <w:r w:rsidR="003D020D" w:rsidRPr="002D306C">
        <w:rPr>
          <w:rFonts w:ascii="Arial" w:hAnsi="Arial" w:cs="Arial"/>
          <w:b/>
          <w:bCs/>
          <w:color w:val="948A54"/>
          <w:sz w:val="28"/>
          <w:szCs w:val="28"/>
          <w:lang w:val="es-ES"/>
        </w:rPr>
        <w:t xml:space="preserve"> Y SUMINISTROS</w:t>
      </w:r>
    </w:p>
    <w:p w:rsidR="00F76E78" w:rsidRDefault="00F76E78" w:rsidP="0072178D">
      <w:pPr>
        <w:jc w:val="both"/>
        <w:rPr>
          <w:rFonts w:ascii="Arial" w:hAnsi="Arial" w:cs="Arial"/>
          <w:lang w:val="es-CR"/>
        </w:rPr>
      </w:pPr>
      <w:r>
        <w:rPr>
          <w:rFonts w:ascii="Arial" w:hAnsi="Arial" w:cs="Arial"/>
          <w:lang w:val="es-CR"/>
        </w:rPr>
        <w:t xml:space="preserve">Esta cuenta corresponde tanto al Inventario de los Timbres del Archivo Nacional de ¢5, ¢10, ¢20, ¢100 y ¢200 que se encuentran tanto en poder del Banco Central de Costa Rica como del Banco </w:t>
      </w:r>
      <w:r w:rsidR="007D5A6E">
        <w:rPr>
          <w:rFonts w:ascii="Arial" w:hAnsi="Arial" w:cs="Arial"/>
          <w:lang w:val="es-CR"/>
        </w:rPr>
        <w:t>de Costa Rica</w:t>
      </w:r>
      <w:r>
        <w:rPr>
          <w:rFonts w:ascii="Arial" w:hAnsi="Arial" w:cs="Arial"/>
          <w:lang w:val="es-CR"/>
        </w:rPr>
        <w:t>; además de las existencias de especies fiscales para la venta que se encuentran en la caja de la institución.  Asimismo esta partida contiene el inventario de materiales y suministros que se encuentran el Archivo Nacional para uso operacional de la institución.</w:t>
      </w:r>
    </w:p>
    <w:p w:rsidR="00F76E78" w:rsidRPr="002D306C" w:rsidRDefault="00F76E78" w:rsidP="0072178D">
      <w:pPr>
        <w:jc w:val="both"/>
        <w:rPr>
          <w:rFonts w:ascii="Candara" w:hAnsi="Candara" w:cs="Arial"/>
          <w:color w:val="000000"/>
          <w:sz w:val="24"/>
          <w:szCs w:val="24"/>
          <w:lang w:val="es-ES"/>
        </w:rPr>
      </w:pPr>
    </w:p>
    <w:bookmarkStart w:id="26" w:name="_MON_1506404924"/>
    <w:bookmarkStart w:id="27" w:name="_MON_1474884847"/>
    <w:bookmarkStart w:id="28" w:name="_MON_1483873689"/>
    <w:bookmarkStart w:id="29" w:name="_MON_1458468674"/>
    <w:bookmarkStart w:id="30" w:name="_MON_1498300002"/>
    <w:bookmarkStart w:id="31" w:name="_MON_1466571404"/>
    <w:bookmarkEnd w:id="26"/>
    <w:bookmarkEnd w:id="27"/>
    <w:bookmarkEnd w:id="28"/>
    <w:bookmarkEnd w:id="29"/>
    <w:bookmarkEnd w:id="30"/>
    <w:bookmarkEnd w:id="31"/>
    <w:bookmarkStart w:id="32" w:name="_MON_1490593893"/>
    <w:bookmarkEnd w:id="32"/>
    <w:p w:rsidR="00F76E78" w:rsidRDefault="004C188E"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28" type="#_x0000_t75" style="width:508.5pt;height:82.5pt" o:ole="">
            <v:imagedata r:id="rId14" o:title=""/>
          </v:shape>
          <o:OLEObject Type="Embed" ProgID="Excel.Sheet.12" ShapeID="_x0000_i1028" DrawAspect="Content" ObjectID="_1554906104" r:id="rId15"/>
        </w:object>
      </w:r>
    </w:p>
    <w:p w:rsidR="00F76E78" w:rsidRDefault="004C188E" w:rsidP="0072178D">
      <w:pPr>
        <w:jc w:val="both"/>
        <w:rPr>
          <w:rFonts w:ascii="Arial" w:hAnsi="Arial" w:cs="Arial"/>
          <w:lang w:val="es-CR"/>
        </w:rPr>
      </w:pPr>
      <w:r>
        <w:rPr>
          <w:rFonts w:ascii="Arial" w:hAnsi="Arial" w:cs="Arial"/>
          <w:lang w:val="es-CR"/>
        </w:rPr>
        <w:t>El aumento corresponde a una mayor compra de suministros de oficina.</w:t>
      </w:r>
    </w:p>
    <w:p w:rsidR="00F76E78" w:rsidRPr="0072178D" w:rsidRDefault="00F76E78" w:rsidP="0072178D">
      <w:pPr>
        <w:pStyle w:val="Ttulo3"/>
        <w:jc w:val="both"/>
        <w:rPr>
          <w:color w:val="365F91"/>
        </w:rPr>
      </w:pPr>
    </w:p>
    <w:p w:rsidR="00F76E78" w:rsidRPr="0072178D" w:rsidRDefault="00F76E78" w:rsidP="0072178D">
      <w:pPr>
        <w:pStyle w:val="Ttulo3"/>
        <w:jc w:val="both"/>
        <w:rPr>
          <w:color w:val="365F91"/>
        </w:rPr>
      </w:pPr>
      <w:r w:rsidRPr="0072178D">
        <w:rPr>
          <w:color w:val="365F91"/>
        </w:rPr>
        <w:t>NOTA No. 7 - Provisión Existencias</w:t>
      </w:r>
    </w:p>
    <w:p w:rsidR="00D17BFF" w:rsidRDefault="00D17BFF" w:rsidP="0072178D">
      <w:pPr>
        <w:spacing w:line="276" w:lineRule="auto"/>
        <w:jc w:val="both"/>
        <w:rPr>
          <w:rFonts w:ascii="Arial" w:hAnsi="Arial" w:cs="Arial"/>
          <w:lang w:val="es-CR"/>
        </w:rPr>
      </w:pPr>
    </w:p>
    <w:p w:rsidR="00F76E78" w:rsidRPr="0072178D" w:rsidRDefault="00F76E78" w:rsidP="0072178D">
      <w:pPr>
        <w:spacing w:line="276" w:lineRule="auto"/>
        <w:jc w:val="both"/>
        <w:rPr>
          <w:rFonts w:ascii="Arial" w:hAnsi="Arial" w:cs="Arial"/>
          <w:lang w:val="es-CR"/>
        </w:rPr>
      </w:pPr>
      <w:r w:rsidRPr="0072178D">
        <w:rPr>
          <w:rFonts w:ascii="Arial" w:hAnsi="Arial" w:cs="Arial"/>
          <w:lang w:val="es-CR"/>
        </w:rPr>
        <w:t>No aplica en este momento.</w:t>
      </w:r>
    </w:p>
    <w:p w:rsidR="00F76E78" w:rsidRPr="002D306C" w:rsidRDefault="00F76E78" w:rsidP="0072178D">
      <w:pPr>
        <w:jc w:val="both"/>
        <w:rPr>
          <w:rFonts w:ascii="Candara" w:hAnsi="Candara" w:cs="Arial"/>
          <w:color w:val="000000"/>
          <w:sz w:val="24"/>
          <w:szCs w:val="24"/>
          <w:lang w:val="es-ES"/>
        </w:rPr>
      </w:pPr>
    </w:p>
    <w:bookmarkStart w:id="33" w:name="_MON_1490593928"/>
    <w:bookmarkEnd w:id="33"/>
    <w:p w:rsidR="00F76E78"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29" type="#_x0000_t75" style="width:508.5pt;height:82.5pt" o:ole="">
            <v:imagedata r:id="rId16" o:title=""/>
          </v:shape>
          <o:OLEObject Type="Embed" ProgID="Excel.Sheet.12" ShapeID="_x0000_i1029" DrawAspect="Content" ObjectID="_1554906105" r:id="rId17"/>
        </w:object>
      </w:r>
    </w:p>
    <w:p w:rsidR="00F76E78" w:rsidRPr="00F76E78" w:rsidRDefault="00F76E78" w:rsidP="0072178D">
      <w:pPr>
        <w:pStyle w:val="Ttulo3"/>
        <w:jc w:val="both"/>
        <w:rPr>
          <w:color w:val="365F91"/>
        </w:rPr>
      </w:pPr>
      <w:r w:rsidRPr="00F76E78">
        <w:rPr>
          <w:color w:val="365F91"/>
        </w:rPr>
        <w:t>NOTA No. 8 - Mercancías en Tránsito</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34" w:name="_MON_1490593941"/>
    <w:bookmarkEnd w:id="34"/>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0" type="#_x0000_t75" style="width:508.5pt;height:82.5pt" o:ole="">
            <v:imagedata r:id="rId18" o:title=""/>
          </v:shape>
          <o:OLEObject Type="Embed" ProgID="Excel.Sheet.12" ShapeID="_x0000_i1030" DrawAspect="Content" ObjectID="_1554906106" r:id="rId19"/>
        </w:object>
      </w:r>
    </w:p>
    <w:p w:rsidR="00F76E78" w:rsidRPr="00A42090" w:rsidRDefault="00F76E78" w:rsidP="00A42090">
      <w:pPr>
        <w:rPr>
          <w:b/>
          <w:bCs/>
          <w:color w:val="365F91"/>
          <w:sz w:val="24"/>
          <w:lang w:val="es-ES"/>
        </w:rPr>
      </w:pPr>
      <w:r w:rsidRPr="00A42090">
        <w:rPr>
          <w:b/>
          <w:bCs/>
          <w:color w:val="365F91"/>
          <w:sz w:val="24"/>
          <w:lang w:val="es-ES"/>
        </w:rPr>
        <w:t>NOTA No. 9 - Gastos pagados por anticipado</w:t>
      </w:r>
    </w:p>
    <w:p w:rsidR="00D17BFF" w:rsidRDefault="00D17BFF" w:rsidP="0072178D">
      <w:pPr>
        <w:jc w:val="both"/>
        <w:rPr>
          <w:rFonts w:ascii="Arial" w:hAnsi="Arial" w:cs="Arial"/>
          <w:lang w:val="es-CR"/>
        </w:rPr>
      </w:pPr>
    </w:p>
    <w:p w:rsidR="00F76E78" w:rsidRPr="002D306C" w:rsidRDefault="00F76E78" w:rsidP="0072178D">
      <w:pPr>
        <w:jc w:val="both"/>
        <w:rPr>
          <w:lang w:val="es-ES"/>
        </w:rPr>
      </w:pPr>
      <w:r>
        <w:rPr>
          <w:rFonts w:ascii="Arial" w:hAnsi="Arial" w:cs="Arial"/>
          <w:lang w:val="es-CR"/>
        </w:rPr>
        <w:t>Representa las pólizas de seguros del edificio, vehículos, equipo electrónico y riesgos profesionales, los cuales se difieren mensualmente y tienen una cobertura de 12 meses.</w:t>
      </w:r>
    </w:p>
    <w:p w:rsidR="00F76E78" w:rsidRPr="002D306C" w:rsidRDefault="00F76E78" w:rsidP="0072178D">
      <w:pPr>
        <w:jc w:val="both"/>
        <w:rPr>
          <w:rFonts w:ascii="Candara" w:hAnsi="Candara" w:cs="Arial"/>
          <w:color w:val="000000"/>
          <w:lang w:val="es-ES"/>
        </w:rPr>
      </w:pPr>
    </w:p>
    <w:bookmarkStart w:id="35" w:name="_MON_1466571432"/>
    <w:bookmarkStart w:id="36" w:name="_MON_1458469105"/>
    <w:bookmarkStart w:id="37" w:name="_MON_1506404992"/>
    <w:bookmarkStart w:id="38" w:name="_MON_1490593960"/>
    <w:bookmarkStart w:id="39" w:name="_MON_1430293226"/>
    <w:bookmarkStart w:id="40" w:name="_MON_1474884869"/>
    <w:bookmarkStart w:id="41" w:name="_MON_1483873717"/>
    <w:bookmarkEnd w:id="35"/>
    <w:bookmarkEnd w:id="36"/>
    <w:bookmarkEnd w:id="37"/>
    <w:bookmarkEnd w:id="38"/>
    <w:bookmarkEnd w:id="39"/>
    <w:bookmarkEnd w:id="40"/>
    <w:bookmarkEnd w:id="41"/>
    <w:bookmarkStart w:id="42" w:name="_MON_1498300021"/>
    <w:bookmarkEnd w:id="42"/>
    <w:p w:rsidR="00F76E78" w:rsidRDefault="004C188E"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31" type="#_x0000_t75" style="width:508.5pt;height:82.5pt" o:ole="">
            <v:imagedata r:id="rId20" o:title=""/>
          </v:shape>
          <o:OLEObject Type="Embed" ProgID="Excel.Sheet.12" ShapeID="_x0000_i1031" DrawAspect="Content" ObjectID="_1554906107" r:id="rId21"/>
        </w:object>
      </w:r>
    </w:p>
    <w:p w:rsidR="00F76E78" w:rsidRDefault="00F76E78" w:rsidP="0072178D">
      <w:pPr>
        <w:jc w:val="both"/>
        <w:rPr>
          <w:rFonts w:ascii="Arial" w:hAnsi="Arial" w:cs="Arial"/>
          <w:lang w:val="es-CR"/>
        </w:rPr>
      </w:pPr>
      <w:r>
        <w:rPr>
          <w:rFonts w:ascii="Arial" w:hAnsi="Arial" w:cs="Arial"/>
          <w:lang w:val="es-CR"/>
        </w:rPr>
        <w:t>La variación en la partida de Gastos Pagados por Anticipado corresponde a la amortización que se realiza mensualmente a las pólizas que tiene suscritas el Archivo Nacional y a las renovaciones de pólizas que realizan según la fecha de vencimiento.</w:t>
      </w:r>
    </w:p>
    <w:p w:rsidR="00F76E78" w:rsidRPr="00F76E78" w:rsidRDefault="00F76E78" w:rsidP="0072178D">
      <w:pPr>
        <w:pStyle w:val="Ttulo3"/>
        <w:jc w:val="both"/>
        <w:rPr>
          <w:color w:val="365F91"/>
        </w:rPr>
      </w:pPr>
    </w:p>
    <w:p w:rsidR="00D17BFF" w:rsidRDefault="00D17BFF">
      <w:pPr>
        <w:rPr>
          <w:b/>
          <w:bCs/>
          <w:color w:val="365F91"/>
          <w:sz w:val="24"/>
          <w:lang w:val="es-ES"/>
        </w:rPr>
      </w:pPr>
      <w:r w:rsidRPr="002D306C">
        <w:rPr>
          <w:color w:val="365F91"/>
          <w:lang w:val="es-ES"/>
        </w:rPr>
        <w:br w:type="page"/>
      </w:r>
    </w:p>
    <w:p w:rsidR="00F76E78" w:rsidRPr="00F76E78" w:rsidRDefault="00F76E78" w:rsidP="0072178D">
      <w:pPr>
        <w:pStyle w:val="Ttulo3"/>
        <w:jc w:val="both"/>
        <w:rPr>
          <w:color w:val="365F91"/>
        </w:rPr>
      </w:pPr>
      <w:r w:rsidRPr="00F76E78">
        <w:rPr>
          <w:color w:val="365F91"/>
        </w:rPr>
        <w:lastRenderedPageBreak/>
        <w:t>NOTA No. 10 - Inversiones Corto Plazo</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43" w:name="_MON_1430293316"/>
    <w:bookmarkEnd w:id="43"/>
    <w:bookmarkStart w:id="44" w:name="_MON_1490593998"/>
    <w:bookmarkEnd w:id="44"/>
    <w:p w:rsidR="00F76E78" w:rsidRDefault="00A926E1"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32" type="#_x0000_t75" style="width:508.5pt;height:82.5pt" o:ole="">
            <v:imagedata r:id="rId22" o:title=""/>
          </v:shape>
          <o:OLEObject Type="Embed" ProgID="Excel.Sheet.12" ShapeID="_x0000_i1032" DrawAspect="Content" ObjectID="_1554906108" r:id="rId23"/>
        </w:object>
      </w:r>
    </w:p>
    <w:p w:rsidR="00F76E78" w:rsidRPr="00F76E78" w:rsidRDefault="00F76E78" w:rsidP="0072178D">
      <w:pPr>
        <w:pStyle w:val="Ttulo3"/>
        <w:jc w:val="both"/>
        <w:rPr>
          <w:color w:val="365F91"/>
        </w:rPr>
      </w:pPr>
      <w:bookmarkStart w:id="45" w:name="_MON_1403504228"/>
      <w:bookmarkEnd w:id="45"/>
      <w:r w:rsidRPr="00F76E78">
        <w:rPr>
          <w:color w:val="365F91"/>
        </w:rPr>
        <w:t>NOTA No. 11 - Documento por cobrar Largo Plazo</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46" w:name="_MON_1430298648"/>
    <w:bookmarkEnd w:id="46"/>
    <w:bookmarkStart w:id="47" w:name="_MON_1490594008"/>
    <w:bookmarkEnd w:id="47"/>
    <w:p w:rsidR="00F76E78" w:rsidRPr="00A06B8E" w:rsidRDefault="00A926E1" w:rsidP="0072178D">
      <w:pPr>
        <w:spacing w:line="276" w:lineRule="auto"/>
        <w:jc w:val="both"/>
        <w:rPr>
          <w:rFonts w:ascii="Arial" w:hAnsi="Arial" w:cs="Arial"/>
          <w:color w:val="000000"/>
        </w:rPr>
      </w:pPr>
      <w:r w:rsidRPr="009164C7">
        <w:rPr>
          <w:rFonts w:ascii="Candara" w:hAnsi="Candara" w:cs="Arial"/>
          <w:color w:val="000000"/>
          <w:sz w:val="24"/>
          <w:szCs w:val="24"/>
        </w:rPr>
        <w:object w:dxaOrig="10187" w:dyaOrig="1496">
          <v:shape id="_x0000_i1033" type="#_x0000_t75" style="width:508.5pt;height:82.5pt" o:ole="">
            <v:imagedata r:id="rId24" o:title=""/>
          </v:shape>
          <o:OLEObject Type="Embed" ProgID="Excel.Sheet.12" ShapeID="_x0000_i1033" DrawAspect="Content" ObjectID="_1554906109" r:id="rId25"/>
        </w:object>
      </w:r>
    </w:p>
    <w:p w:rsidR="00F76E78" w:rsidRPr="00F76E78" w:rsidRDefault="00F76E78" w:rsidP="0072178D">
      <w:pPr>
        <w:pStyle w:val="Ttulo3"/>
        <w:jc w:val="both"/>
        <w:rPr>
          <w:color w:val="365F91"/>
        </w:rPr>
      </w:pPr>
      <w:r w:rsidRPr="00F76E78">
        <w:rPr>
          <w:color w:val="365F91"/>
        </w:rPr>
        <w:t>NOTA No. 12 - Cuentas por cobrar Largo Plazo</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48" w:name="_MON_1430298801"/>
    <w:bookmarkEnd w:id="48"/>
    <w:bookmarkStart w:id="49" w:name="_MON_1490594016"/>
    <w:bookmarkEnd w:id="49"/>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4" type="#_x0000_t75" style="width:508.5pt;height:82.5pt" o:ole="">
            <v:imagedata r:id="rId26" o:title=""/>
          </v:shape>
          <o:OLEObject Type="Embed" ProgID="Excel.Sheet.12" ShapeID="_x0000_i1034" DrawAspect="Content" ObjectID="_1554906110" r:id="rId27"/>
        </w:object>
      </w:r>
    </w:p>
    <w:p w:rsidR="00F76E78" w:rsidRPr="00F76E78" w:rsidRDefault="00F76E78" w:rsidP="0072178D">
      <w:pPr>
        <w:pStyle w:val="Ttulo3"/>
        <w:jc w:val="both"/>
        <w:rPr>
          <w:color w:val="365F91"/>
        </w:rPr>
      </w:pPr>
      <w:r w:rsidRPr="00F76E78">
        <w:rPr>
          <w:color w:val="365F91"/>
        </w:rPr>
        <w:t xml:space="preserve">NOTA No. 13 - Provisión Cobranza Dudosa </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50" w:name="_MON_1430298945"/>
    <w:bookmarkEnd w:id="50"/>
    <w:bookmarkStart w:id="51" w:name="_MON_1490594024"/>
    <w:bookmarkEnd w:id="51"/>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5" type="#_x0000_t75" style="width:508.5pt;height:82.5pt" o:ole="">
            <v:imagedata r:id="rId28" o:title=""/>
          </v:shape>
          <o:OLEObject Type="Embed" ProgID="Excel.Sheet.12" ShapeID="_x0000_i1035" DrawAspect="Content" ObjectID="_1554906111" r:id="rId29"/>
        </w:object>
      </w:r>
    </w:p>
    <w:p w:rsidR="00D17BFF" w:rsidRDefault="00D17BFF">
      <w:pPr>
        <w:rPr>
          <w:b/>
          <w:bCs/>
          <w:color w:val="365F91"/>
          <w:sz w:val="24"/>
          <w:lang w:val="es-ES"/>
        </w:rPr>
      </w:pPr>
      <w:r>
        <w:rPr>
          <w:color w:val="365F91"/>
        </w:rPr>
        <w:br w:type="page"/>
      </w:r>
    </w:p>
    <w:p w:rsidR="00F76E78" w:rsidRPr="00F76E78" w:rsidRDefault="00F76E78" w:rsidP="0072178D">
      <w:pPr>
        <w:pStyle w:val="Ttulo3"/>
        <w:jc w:val="both"/>
        <w:rPr>
          <w:color w:val="365F91"/>
        </w:rPr>
      </w:pPr>
      <w:r w:rsidRPr="00F76E78">
        <w:rPr>
          <w:color w:val="365F91"/>
        </w:rPr>
        <w:lastRenderedPageBreak/>
        <w:t>NOTA No. 14 - Préstamos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52" w:name="_MON_1430561214"/>
    <w:bookmarkEnd w:id="52"/>
    <w:bookmarkStart w:id="53" w:name="_MON_1490594032"/>
    <w:bookmarkEnd w:id="53"/>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6" type="#_x0000_t75" style="width:508.5pt;height:82.5pt" o:ole="">
            <v:imagedata r:id="rId30" o:title=""/>
          </v:shape>
          <o:OLEObject Type="Embed" ProgID="Excel.Sheet.12" ShapeID="_x0000_i1036" DrawAspect="Content" ObjectID="_1554906112" r:id="rId31"/>
        </w:object>
      </w:r>
    </w:p>
    <w:p w:rsidR="00F76E78" w:rsidRPr="00F76E78" w:rsidRDefault="00F76E78" w:rsidP="0072178D">
      <w:pPr>
        <w:pStyle w:val="Ttulo3"/>
        <w:jc w:val="both"/>
        <w:rPr>
          <w:color w:val="365F91"/>
        </w:rPr>
      </w:pPr>
      <w:r w:rsidRPr="00F76E78">
        <w:rPr>
          <w:color w:val="365F91"/>
        </w:rPr>
        <w:t>NOTA No. 15 - Provisión Cobranza Dudosa de Préstamos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54" w:name="_MON_1430561264"/>
    <w:bookmarkEnd w:id="54"/>
    <w:bookmarkStart w:id="55" w:name="_MON_1490594041"/>
    <w:bookmarkEnd w:id="55"/>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7" type="#_x0000_t75" style="width:508.5pt;height:82.5pt" o:ole="">
            <v:imagedata r:id="rId32" o:title=""/>
          </v:shape>
          <o:OLEObject Type="Embed" ProgID="Excel.Sheet.12" ShapeID="_x0000_i1037" DrawAspect="Content" ObjectID="_1554906113" r:id="rId33"/>
        </w:object>
      </w:r>
    </w:p>
    <w:p w:rsidR="00F76E78" w:rsidRPr="00F76E78" w:rsidRDefault="00F76E78" w:rsidP="0072178D">
      <w:pPr>
        <w:pStyle w:val="Ttulo3"/>
        <w:jc w:val="both"/>
        <w:rPr>
          <w:color w:val="365F91"/>
        </w:rPr>
      </w:pPr>
      <w:r w:rsidRPr="00F76E78">
        <w:rPr>
          <w:color w:val="365F91"/>
        </w:rPr>
        <w:t>NOTA No. 16 - Adquisición de Valores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56" w:name="_MON_1430561315"/>
    <w:bookmarkEnd w:id="56"/>
    <w:bookmarkStart w:id="57" w:name="_MON_1490594049"/>
    <w:bookmarkEnd w:id="57"/>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8" type="#_x0000_t75" style="width:508.5pt;height:82.5pt" o:ole="">
            <v:imagedata r:id="rId34" o:title=""/>
          </v:shape>
          <o:OLEObject Type="Embed" ProgID="Excel.Sheet.12" ShapeID="_x0000_i1038" DrawAspect="Content" ObjectID="_1554906114" r:id="rId35"/>
        </w:object>
      </w:r>
    </w:p>
    <w:p w:rsidR="00F76E78" w:rsidRPr="00F76E78" w:rsidRDefault="00F76E78" w:rsidP="0072178D">
      <w:pPr>
        <w:pStyle w:val="Ttulo3"/>
        <w:jc w:val="both"/>
        <w:rPr>
          <w:color w:val="365F91"/>
        </w:rPr>
      </w:pPr>
      <w:r w:rsidRPr="00F76E78">
        <w:rPr>
          <w:color w:val="365F91"/>
        </w:rPr>
        <w:t>NOTA No. 17 - Otros Activos Financieros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58" w:name="_MON_1430568076"/>
    <w:bookmarkEnd w:id="58"/>
    <w:bookmarkStart w:id="59" w:name="_MON_1490594057"/>
    <w:bookmarkEnd w:id="59"/>
    <w:p w:rsidR="00F76E78"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39" type="#_x0000_t75" style="width:508.5pt;height:82.5pt" o:ole="">
            <v:imagedata r:id="rId36" o:title=""/>
          </v:shape>
          <o:OLEObject Type="Embed" ProgID="Excel.Sheet.12" ShapeID="_x0000_i1039" DrawAspect="Content" ObjectID="_1554906115" r:id="rId37"/>
        </w:object>
      </w:r>
    </w:p>
    <w:p w:rsidR="00D17BFF" w:rsidRDefault="00D17BFF">
      <w:pPr>
        <w:rPr>
          <w:b/>
          <w:bCs/>
          <w:color w:val="365F91"/>
          <w:sz w:val="24"/>
          <w:lang w:val="es-ES"/>
        </w:rPr>
      </w:pPr>
      <w:r>
        <w:rPr>
          <w:color w:val="365F91"/>
        </w:rPr>
        <w:br w:type="page"/>
      </w:r>
    </w:p>
    <w:p w:rsidR="00F76E78" w:rsidRPr="00F76E78" w:rsidRDefault="00F76E78" w:rsidP="0072178D">
      <w:pPr>
        <w:pStyle w:val="Ttulo3"/>
        <w:jc w:val="both"/>
        <w:rPr>
          <w:color w:val="365F91"/>
        </w:rPr>
      </w:pPr>
      <w:r w:rsidRPr="00F76E78">
        <w:rPr>
          <w:color w:val="365F91"/>
        </w:rPr>
        <w:lastRenderedPageBreak/>
        <w:t>NOTA No. 18 - Maquinaria, Equipo y Mobiliario</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Las partidas de Bienes Duraderos  adquiridos o ya existentes, relacionadas con las partidas de: Maquinaria, Equipo y Mobiliario independiente de su monto de adquisición, se registran a su costo   de acuerdo con las características de la normativa vigente.</w:t>
      </w:r>
    </w:p>
    <w:p w:rsidR="003F6F51" w:rsidRDefault="003F6F51" w:rsidP="0072178D">
      <w:pPr>
        <w:jc w:val="both"/>
        <w:rPr>
          <w:rFonts w:ascii="Arial" w:hAnsi="Arial" w:cs="Arial"/>
          <w:lang w:val="es-CR"/>
        </w:rPr>
      </w:pPr>
    </w:p>
    <w:bookmarkStart w:id="60" w:name="_MON_1466571545"/>
    <w:bookmarkStart w:id="61" w:name="_MON_1458469400"/>
    <w:bookmarkStart w:id="62" w:name="_MON_1506405066"/>
    <w:bookmarkStart w:id="63" w:name="_MON_1490594079"/>
    <w:bookmarkStart w:id="64" w:name="_MON_1430568765"/>
    <w:bookmarkStart w:id="65" w:name="_MON_1474884889"/>
    <w:bookmarkStart w:id="66" w:name="_MON_1483873753"/>
    <w:bookmarkEnd w:id="60"/>
    <w:bookmarkEnd w:id="61"/>
    <w:bookmarkEnd w:id="62"/>
    <w:bookmarkEnd w:id="63"/>
    <w:bookmarkEnd w:id="64"/>
    <w:bookmarkEnd w:id="65"/>
    <w:bookmarkEnd w:id="66"/>
    <w:bookmarkStart w:id="67" w:name="_MON_1498300059"/>
    <w:bookmarkEnd w:id="67"/>
    <w:p w:rsidR="00F76E78" w:rsidRDefault="004C188E"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40" type="#_x0000_t75" style="width:508.5pt;height:82.5pt" o:ole="">
            <v:imagedata r:id="rId38" o:title=""/>
          </v:shape>
          <o:OLEObject Type="Embed" ProgID="Excel.Sheet.12" ShapeID="_x0000_i1040" DrawAspect="Content" ObjectID="_1554906116" r:id="rId39"/>
        </w:object>
      </w:r>
    </w:p>
    <w:p w:rsidR="00845BE5" w:rsidRDefault="005604BF" w:rsidP="0072178D">
      <w:pPr>
        <w:jc w:val="both"/>
        <w:rPr>
          <w:rFonts w:ascii="Arial" w:hAnsi="Arial" w:cs="Arial"/>
          <w:lang w:val="es-CR"/>
        </w:rPr>
      </w:pPr>
      <w:r>
        <w:rPr>
          <w:rFonts w:ascii="Arial" w:hAnsi="Arial" w:cs="Arial"/>
          <w:lang w:val="es-CR"/>
        </w:rPr>
        <w:t>El aumento en esta partida corresponde a compras realizadas en el periodo.</w:t>
      </w:r>
    </w:p>
    <w:p w:rsidR="00F76E78" w:rsidRPr="002D306C" w:rsidRDefault="00F76E78" w:rsidP="0072178D">
      <w:pPr>
        <w:jc w:val="both"/>
        <w:rPr>
          <w:rFonts w:ascii="Candara" w:hAnsi="Candara" w:cs="Arial"/>
          <w:color w:val="000000"/>
          <w:lang w:val="es-ES"/>
        </w:rPr>
      </w:pPr>
    </w:p>
    <w:p w:rsidR="00F76E78" w:rsidRPr="00F76E78" w:rsidRDefault="00F76E78" w:rsidP="0072178D">
      <w:pPr>
        <w:pStyle w:val="Ttulo3"/>
        <w:jc w:val="both"/>
        <w:rPr>
          <w:color w:val="365F91"/>
        </w:rPr>
      </w:pPr>
      <w:bookmarkStart w:id="68" w:name="_MON_1403504595"/>
      <w:bookmarkStart w:id="69" w:name="_MON_1396033457"/>
      <w:bookmarkStart w:id="70" w:name="_MON_1396033525"/>
      <w:bookmarkStart w:id="71" w:name="_MON_1403504350"/>
      <w:bookmarkStart w:id="72" w:name="_MON_1403504440"/>
      <w:bookmarkStart w:id="73" w:name="_MON_1403504466"/>
      <w:bookmarkStart w:id="74" w:name="_MON_1403504493"/>
      <w:bookmarkStart w:id="75" w:name="_MON_1403504557"/>
      <w:bookmarkEnd w:id="68"/>
      <w:bookmarkEnd w:id="69"/>
      <w:bookmarkEnd w:id="70"/>
      <w:bookmarkEnd w:id="71"/>
      <w:bookmarkEnd w:id="72"/>
      <w:bookmarkEnd w:id="73"/>
      <w:bookmarkEnd w:id="74"/>
      <w:bookmarkEnd w:id="75"/>
      <w:r w:rsidRPr="00F76E78">
        <w:rPr>
          <w:color w:val="365F91"/>
        </w:rPr>
        <w:t>NOTA No. 19 - Depreciación Acumulada Maquinaria, Equipo y Mobiliario</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El método de depreciación utilizado es el de Línea Recta, según lo estipulado en la Ley y Reglamento del Impuesto Sobre la Renta. Se reflejan el Gasto por Depreciación  en el Estados de Resultados y la Depreciación Acumulada restando  bajo el Bien Duradero correspondiente en el Balance General.</w:t>
      </w:r>
    </w:p>
    <w:p w:rsidR="00F76E78" w:rsidRPr="002D306C" w:rsidRDefault="00F76E78" w:rsidP="0072178D">
      <w:pPr>
        <w:jc w:val="both"/>
        <w:rPr>
          <w:rFonts w:ascii="Candara" w:hAnsi="Candara" w:cs="Arial"/>
          <w:color w:val="000000"/>
          <w:lang w:val="es-ES"/>
        </w:rPr>
      </w:pPr>
    </w:p>
    <w:bookmarkStart w:id="76" w:name="_MON_1498300100"/>
    <w:bookmarkStart w:id="77" w:name="_MON_1466571563"/>
    <w:bookmarkStart w:id="78" w:name="_MON_1498301665"/>
    <w:bookmarkStart w:id="79" w:name="_MON_1458469519"/>
    <w:bookmarkStart w:id="80" w:name="_MON_1506405102"/>
    <w:bookmarkStart w:id="81" w:name="_MON_1490594171"/>
    <w:bookmarkStart w:id="82" w:name="_MON_1430568891"/>
    <w:bookmarkStart w:id="83" w:name="_MON_1474884910"/>
    <w:bookmarkEnd w:id="76"/>
    <w:bookmarkEnd w:id="77"/>
    <w:bookmarkEnd w:id="78"/>
    <w:bookmarkEnd w:id="79"/>
    <w:bookmarkEnd w:id="80"/>
    <w:bookmarkEnd w:id="81"/>
    <w:bookmarkEnd w:id="82"/>
    <w:bookmarkEnd w:id="83"/>
    <w:bookmarkStart w:id="84" w:name="_MON_1483873788"/>
    <w:bookmarkEnd w:id="84"/>
    <w:p w:rsidR="00F76E78" w:rsidRDefault="004C188E"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41" type="#_x0000_t75" style="width:508.5pt;height:82.5pt" o:ole="">
            <v:imagedata r:id="rId40" o:title=""/>
          </v:shape>
          <o:OLEObject Type="Embed" ProgID="Excel.Sheet.12" ShapeID="_x0000_i1041" DrawAspect="Content" ObjectID="_1554906117" r:id="rId41"/>
        </w:object>
      </w:r>
    </w:p>
    <w:p w:rsidR="00F76E78" w:rsidRPr="002D306C" w:rsidRDefault="00F76E78" w:rsidP="0072178D">
      <w:pPr>
        <w:jc w:val="both"/>
        <w:rPr>
          <w:rFonts w:ascii="Arial" w:hAnsi="Arial" w:cs="Arial"/>
          <w:lang w:val="es-ES"/>
        </w:rPr>
      </w:pPr>
      <w:r w:rsidRPr="002D306C">
        <w:rPr>
          <w:rFonts w:ascii="Arial" w:hAnsi="Arial" w:cs="Arial"/>
          <w:lang w:val="es-ES"/>
        </w:rPr>
        <w:t>La variación generada en esta partida corresponde a la depreciación mensual</w:t>
      </w:r>
      <w:r w:rsidR="00816DFB" w:rsidRPr="002D306C">
        <w:rPr>
          <w:rFonts w:ascii="Arial" w:hAnsi="Arial" w:cs="Arial"/>
          <w:lang w:val="es-ES"/>
        </w:rPr>
        <w:t>.</w:t>
      </w:r>
      <w:r w:rsidRPr="002D306C">
        <w:rPr>
          <w:rFonts w:ascii="Arial" w:hAnsi="Arial" w:cs="Arial"/>
          <w:lang w:val="es-ES"/>
        </w:rPr>
        <w:t xml:space="preserve"> </w:t>
      </w:r>
    </w:p>
    <w:p w:rsidR="00F76E78" w:rsidRPr="00F76E78" w:rsidRDefault="00F76E78" w:rsidP="0072178D">
      <w:pPr>
        <w:pStyle w:val="Ttulo3"/>
        <w:jc w:val="both"/>
        <w:rPr>
          <w:color w:val="365F91"/>
        </w:rPr>
      </w:pPr>
    </w:p>
    <w:p w:rsidR="00F76E78" w:rsidRPr="00F76E78" w:rsidRDefault="00F76E78" w:rsidP="0072178D">
      <w:pPr>
        <w:pStyle w:val="Ttulo3"/>
        <w:jc w:val="both"/>
        <w:rPr>
          <w:color w:val="365F91"/>
        </w:rPr>
      </w:pPr>
      <w:r w:rsidRPr="00F76E78">
        <w:rPr>
          <w:color w:val="365F91"/>
        </w:rPr>
        <w:t>NOTA No. 20 - Construcciones, Adiciones y Mejoras</w:t>
      </w:r>
    </w:p>
    <w:p w:rsidR="00F76E78" w:rsidRPr="002D306C" w:rsidRDefault="00F76E78" w:rsidP="0072178D">
      <w:pPr>
        <w:jc w:val="both"/>
        <w:rPr>
          <w:rFonts w:ascii="Candara" w:hAnsi="Candara" w:cs="Arial"/>
          <w:color w:val="000000"/>
          <w:lang w:val="es-ES"/>
        </w:rPr>
      </w:pPr>
    </w:p>
    <w:bookmarkStart w:id="85" w:name="_MON_1430569063"/>
    <w:bookmarkStart w:id="86" w:name="_MON_1490594217"/>
    <w:bookmarkStart w:id="87" w:name="_MON_1474884939"/>
    <w:bookmarkEnd w:id="85"/>
    <w:bookmarkEnd w:id="86"/>
    <w:bookmarkEnd w:id="87"/>
    <w:bookmarkStart w:id="88" w:name="_MON_1458469613"/>
    <w:bookmarkEnd w:id="88"/>
    <w:p w:rsidR="00481708" w:rsidRPr="002D306C" w:rsidRDefault="004C188E" w:rsidP="00481708">
      <w:pPr>
        <w:spacing w:line="276" w:lineRule="auto"/>
        <w:jc w:val="both"/>
        <w:rPr>
          <w:rFonts w:ascii="Arial" w:hAnsi="Arial" w:cs="Arial"/>
          <w:b/>
          <w:color w:val="000000"/>
          <w:u w:val="single"/>
          <w:lang w:val="es-ES"/>
        </w:rPr>
      </w:pPr>
      <w:r w:rsidRPr="009164C7">
        <w:rPr>
          <w:rFonts w:ascii="Candara" w:hAnsi="Candara" w:cs="Arial"/>
          <w:color w:val="000000"/>
          <w:sz w:val="24"/>
          <w:szCs w:val="24"/>
        </w:rPr>
        <w:object w:dxaOrig="10187" w:dyaOrig="1496">
          <v:shape id="_x0000_i1042" type="#_x0000_t75" style="width:508.5pt;height:82.5pt" o:ole="">
            <v:imagedata r:id="rId42" o:title=""/>
          </v:shape>
          <o:OLEObject Type="Embed" ProgID="Excel.Sheet.12" ShapeID="_x0000_i1042" DrawAspect="Content" ObjectID="_1554906118" r:id="rId43"/>
        </w:object>
      </w:r>
      <w:bookmarkStart w:id="89" w:name="_MON_1430569123"/>
      <w:bookmarkEnd w:id="89"/>
      <w:r w:rsidR="00F76E78" w:rsidRPr="002D306C">
        <w:rPr>
          <w:rFonts w:ascii="Arial" w:hAnsi="Arial" w:cs="Arial"/>
          <w:b/>
          <w:color w:val="000000"/>
          <w:u w:val="single"/>
          <w:lang w:val="es-ES"/>
        </w:rPr>
        <w:t xml:space="preserve"> </w:t>
      </w:r>
    </w:p>
    <w:p w:rsidR="00481708" w:rsidRPr="002D306C" w:rsidRDefault="00481708" w:rsidP="00481708">
      <w:pPr>
        <w:spacing w:line="276" w:lineRule="auto"/>
        <w:jc w:val="both"/>
        <w:rPr>
          <w:rFonts w:ascii="Arial" w:hAnsi="Arial" w:cs="Arial"/>
          <w:b/>
          <w:color w:val="000000"/>
          <w:u w:val="single"/>
          <w:lang w:val="es-ES"/>
        </w:rPr>
      </w:pPr>
      <w:r w:rsidRPr="00481708">
        <w:rPr>
          <w:rFonts w:ascii="Arial" w:hAnsi="Arial" w:cs="Arial"/>
          <w:lang w:val="es-CR"/>
        </w:rPr>
        <w:t>Corresponde</w:t>
      </w:r>
      <w:r>
        <w:rPr>
          <w:rFonts w:ascii="Arial" w:hAnsi="Arial" w:cs="Arial"/>
          <w:lang w:val="es-CR"/>
        </w:rPr>
        <w:t xml:space="preserve"> a gastos incurridos para la construcción de la IV Etapa del Archivo Nacional.</w:t>
      </w:r>
    </w:p>
    <w:p w:rsidR="00481708" w:rsidRPr="00481708" w:rsidRDefault="00481708" w:rsidP="00481708">
      <w:pPr>
        <w:rPr>
          <w:lang w:val="es-ES"/>
        </w:rPr>
      </w:pPr>
    </w:p>
    <w:p w:rsidR="00F76E78" w:rsidRPr="00F76E78" w:rsidRDefault="00F76E78" w:rsidP="0072178D">
      <w:pPr>
        <w:pStyle w:val="Ttulo3"/>
        <w:jc w:val="both"/>
        <w:rPr>
          <w:color w:val="365F91"/>
        </w:rPr>
      </w:pPr>
      <w:r w:rsidRPr="00F76E78">
        <w:rPr>
          <w:color w:val="365F91"/>
        </w:rPr>
        <w:t>NOTA No. 21 - Terrenos</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Se aplica un avalúo al terreno de la institución realizado en el mes de noviembre 2008, por la Dirección General de Tributación del Ministerio de Hacienda,  según informe de avalúo A.V. 471-2008.</w:t>
      </w:r>
    </w:p>
    <w:p w:rsidR="00F76E78" w:rsidRPr="002D306C" w:rsidRDefault="00F76E78" w:rsidP="0072178D">
      <w:pPr>
        <w:jc w:val="both"/>
        <w:rPr>
          <w:rFonts w:ascii="Candara" w:hAnsi="Candara" w:cs="Arial"/>
          <w:color w:val="000000"/>
          <w:lang w:val="es-ES"/>
        </w:rPr>
      </w:pPr>
    </w:p>
    <w:bookmarkStart w:id="90" w:name="_MON_1458469685"/>
    <w:bookmarkStart w:id="91" w:name="_MON_1506405128"/>
    <w:bookmarkStart w:id="92" w:name="_MON_1458469702"/>
    <w:bookmarkStart w:id="93" w:name="_MON_1430569184"/>
    <w:bookmarkEnd w:id="90"/>
    <w:bookmarkEnd w:id="91"/>
    <w:bookmarkEnd w:id="92"/>
    <w:bookmarkEnd w:id="93"/>
    <w:bookmarkStart w:id="94" w:name="_MON_1490594229"/>
    <w:bookmarkEnd w:id="94"/>
    <w:p w:rsidR="00F76E78" w:rsidRPr="002D306C" w:rsidRDefault="00D17BFF" w:rsidP="0072178D">
      <w:pPr>
        <w:spacing w:line="276" w:lineRule="auto"/>
        <w:jc w:val="both"/>
        <w:rPr>
          <w:rFonts w:ascii="Candara" w:hAnsi="Candara" w:cs="Arial"/>
          <w:color w:val="000000"/>
          <w:sz w:val="24"/>
          <w:szCs w:val="24"/>
          <w:lang w:val="es-ES"/>
        </w:rPr>
      </w:pPr>
      <w:r w:rsidRPr="009164C7">
        <w:rPr>
          <w:rFonts w:ascii="Candara" w:hAnsi="Candara" w:cs="Arial"/>
          <w:color w:val="000000"/>
          <w:sz w:val="24"/>
          <w:szCs w:val="24"/>
        </w:rPr>
        <w:object w:dxaOrig="10187" w:dyaOrig="1496">
          <v:shape id="_x0000_i1043" type="#_x0000_t75" style="width:508.5pt;height:82.5pt" o:ole="">
            <v:imagedata r:id="rId44" o:title=""/>
          </v:shape>
          <o:OLEObject Type="Embed" ProgID="Excel.Sheet.12" ShapeID="_x0000_i1043" DrawAspect="Content" ObjectID="_1554906119" r:id="rId45"/>
        </w:object>
      </w:r>
      <w:r w:rsidR="005604BF" w:rsidRPr="002D306C">
        <w:rPr>
          <w:rFonts w:ascii="Candara" w:hAnsi="Candara" w:cs="Arial"/>
          <w:color w:val="000000"/>
          <w:sz w:val="24"/>
          <w:szCs w:val="24"/>
          <w:lang w:val="es-ES"/>
        </w:rPr>
        <w:t xml:space="preserve"> </w:t>
      </w:r>
    </w:p>
    <w:p w:rsidR="00F76E78" w:rsidRPr="00F76E78" w:rsidRDefault="00F76E78" w:rsidP="0072178D">
      <w:pPr>
        <w:pStyle w:val="Ttulo3"/>
        <w:jc w:val="both"/>
        <w:rPr>
          <w:color w:val="365F91"/>
        </w:rPr>
      </w:pPr>
      <w:r w:rsidRPr="00F76E78">
        <w:rPr>
          <w:color w:val="365F91"/>
        </w:rPr>
        <w:lastRenderedPageBreak/>
        <w:t>NOTA No. 22 - Edificios</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Las partidas de Bienes Duraderos  adquiridos se registran a su costo de acuerdo con las características de la normativa vigente.</w:t>
      </w:r>
      <w:r w:rsidR="00816DFB" w:rsidRPr="00816DFB">
        <w:rPr>
          <w:rFonts w:ascii="Arial" w:hAnsi="Arial" w:cs="Arial"/>
          <w:lang w:val="es-CR"/>
        </w:rPr>
        <w:t xml:space="preserve"> </w:t>
      </w:r>
      <w:r w:rsidR="00816DFB">
        <w:rPr>
          <w:rFonts w:ascii="Arial" w:hAnsi="Arial" w:cs="Arial"/>
          <w:lang w:val="es-CR"/>
        </w:rPr>
        <w:t xml:space="preserve">Se aplica </w:t>
      </w:r>
      <w:r w:rsidR="00816DFB" w:rsidRPr="00816DFB">
        <w:rPr>
          <w:rFonts w:ascii="Arial" w:hAnsi="Arial" w:cs="Arial"/>
          <w:lang w:val="es-CR"/>
        </w:rPr>
        <w:t>revaluación del edificio según Avaluó N° AV-407-2009.</w:t>
      </w:r>
    </w:p>
    <w:p w:rsidR="00F76E78" w:rsidRDefault="00F76E78" w:rsidP="0072178D">
      <w:pPr>
        <w:jc w:val="both"/>
        <w:rPr>
          <w:rFonts w:ascii="Candara" w:hAnsi="Candara" w:cs="Arial"/>
          <w:color w:val="000000"/>
        </w:rPr>
      </w:pPr>
    </w:p>
    <w:bookmarkStart w:id="95" w:name="_MON_1483873824"/>
    <w:bookmarkStart w:id="96" w:name="_MON_1458469751"/>
    <w:bookmarkStart w:id="97" w:name="_MON_1430570000"/>
    <w:bookmarkStart w:id="98" w:name="_MON_1490594244"/>
    <w:bookmarkStart w:id="99" w:name="_MON_1506405274"/>
    <w:bookmarkEnd w:id="95"/>
    <w:bookmarkEnd w:id="96"/>
    <w:bookmarkEnd w:id="97"/>
    <w:bookmarkEnd w:id="98"/>
    <w:bookmarkEnd w:id="99"/>
    <w:bookmarkStart w:id="100" w:name="_MON_1474884962"/>
    <w:bookmarkEnd w:id="100"/>
    <w:p w:rsidR="00F76E78" w:rsidRPr="003C0972" w:rsidRDefault="00A71C06"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44" type="#_x0000_t75" style="width:508.5pt;height:82.5pt" o:ole="">
            <v:imagedata r:id="rId46" o:title=""/>
          </v:shape>
          <o:OLEObject Type="Embed" ProgID="Excel.Sheet.12" ShapeID="_x0000_i1044" DrawAspect="Content" ObjectID="_1554906120" r:id="rId47"/>
        </w:object>
      </w:r>
    </w:p>
    <w:p w:rsidR="0072178D" w:rsidRDefault="003F6F51" w:rsidP="0072178D">
      <w:pPr>
        <w:pStyle w:val="Ttulo3"/>
        <w:jc w:val="both"/>
        <w:rPr>
          <w:rFonts w:ascii="Arial" w:hAnsi="Arial" w:cs="Arial"/>
          <w:b w:val="0"/>
          <w:bCs w:val="0"/>
          <w:sz w:val="20"/>
          <w:lang w:val="es-CR"/>
        </w:rPr>
      </w:pPr>
      <w:r>
        <w:rPr>
          <w:rFonts w:ascii="Arial" w:hAnsi="Arial" w:cs="Arial"/>
          <w:b w:val="0"/>
          <w:bCs w:val="0"/>
          <w:sz w:val="20"/>
          <w:lang w:val="es-CR"/>
        </w:rPr>
        <w:t xml:space="preserve"> </w:t>
      </w:r>
      <w:r w:rsidR="00D66C73">
        <w:rPr>
          <w:rFonts w:ascii="Arial" w:hAnsi="Arial" w:cs="Arial"/>
          <w:b w:val="0"/>
          <w:bCs w:val="0"/>
          <w:sz w:val="20"/>
          <w:lang w:val="es-CR"/>
        </w:rPr>
        <w:t xml:space="preserve">La variación corresponde </w:t>
      </w:r>
      <w:r w:rsidR="00A926E1">
        <w:rPr>
          <w:rFonts w:ascii="Arial" w:hAnsi="Arial" w:cs="Arial"/>
          <w:b w:val="0"/>
          <w:bCs w:val="0"/>
          <w:sz w:val="20"/>
          <w:lang w:val="es-CR"/>
        </w:rPr>
        <w:t>a ajustes realizados a la cuenta.</w:t>
      </w:r>
    </w:p>
    <w:p w:rsidR="00A926E1" w:rsidRPr="00A926E1" w:rsidRDefault="00A926E1" w:rsidP="00A926E1">
      <w:pPr>
        <w:rPr>
          <w:lang w:val="es-CR"/>
        </w:rPr>
      </w:pPr>
    </w:p>
    <w:p w:rsidR="00F76E78" w:rsidRPr="00F76E78" w:rsidRDefault="00F76E78" w:rsidP="0072178D">
      <w:pPr>
        <w:pStyle w:val="Ttulo3"/>
        <w:jc w:val="both"/>
        <w:rPr>
          <w:color w:val="365F91"/>
        </w:rPr>
      </w:pPr>
      <w:r w:rsidRPr="00F76E78">
        <w:rPr>
          <w:color w:val="365F91"/>
        </w:rPr>
        <w:t>NOTA No. 23 - Depreciación Acumulada</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El método de depreciación utilizado es el de Línea Recta, según lo estipulado en la Ley y Reglamento del Impuesto Sobre la Renta. Se reflejan el Gasto por Depreciación  en el Estados de Resultados y la Depreciación Acumulada restando  bajo el Bien Duradero correspondiente en el Balance General.</w:t>
      </w:r>
    </w:p>
    <w:p w:rsidR="00F76E78" w:rsidRPr="002D306C" w:rsidRDefault="00F76E78" w:rsidP="0072178D">
      <w:pPr>
        <w:jc w:val="both"/>
        <w:rPr>
          <w:rFonts w:ascii="Candara" w:hAnsi="Candara" w:cs="Arial"/>
          <w:color w:val="000000"/>
          <w:lang w:val="es-ES"/>
        </w:rPr>
      </w:pPr>
    </w:p>
    <w:bookmarkStart w:id="101" w:name="_MON_1490594321"/>
    <w:bookmarkStart w:id="102" w:name="_MON_1458469782"/>
    <w:bookmarkStart w:id="103" w:name="_MON_1430570042"/>
    <w:bookmarkStart w:id="104" w:name="_MON_1474885005"/>
    <w:bookmarkStart w:id="105" w:name="_MON_1498300125"/>
    <w:bookmarkStart w:id="106" w:name="_MON_1498300144"/>
    <w:bookmarkStart w:id="107" w:name="_MON_1483874147"/>
    <w:bookmarkStart w:id="108" w:name="_MON_1466571629"/>
    <w:bookmarkStart w:id="109" w:name="_MON_1506405335"/>
    <w:bookmarkStart w:id="110" w:name="_MON_1466572197"/>
    <w:bookmarkStart w:id="111" w:name="_MON_1506412763"/>
    <w:bookmarkEnd w:id="101"/>
    <w:bookmarkEnd w:id="102"/>
    <w:bookmarkEnd w:id="103"/>
    <w:bookmarkEnd w:id="104"/>
    <w:bookmarkEnd w:id="105"/>
    <w:bookmarkEnd w:id="106"/>
    <w:bookmarkEnd w:id="107"/>
    <w:bookmarkEnd w:id="108"/>
    <w:bookmarkEnd w:id="109"/>
    <w:bookmarkEnd w:id="110"/>
    <w:bookmarkEnd w:id="111"/>
    <w:bookmarkStart w:id="112" w:name="_MON_1506412792"/>
    <w:bookmarkEnd w:id="112"/>
    <w:p w:rsidR="00F76E78" w:rsidRDefault="004C188E" w:rsidP="0072178D">
      <w:pPr>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45" type="#_x0000_t75" style="width:508.5pt;height:82.5pt" o:ole="">
            <v:imagedata r:id="rId48" o:title=""/>
          </v:shape>
          <o:OLEObject Type="Embed" ProgID="Excel.Sheet.12" ShapeID="_x0000_i1045" DrawAspect="Content" ObjectID="_1554906121" r:id="rId49"/>
        </w:object>
      </w:r>
    </w:p>
    <w:p w:rsidR="00F76E78" w:rsidRPr="002D306C" w:rsidRDefault="00F76E78" w:rsidP="0072178D">
      <w:pPr>
        <w:jc w:val="both"/>
        <w:rPr>
          <w:rFonts w:ascii="Arial" w:hAnsi="Arial" w:cs="Arial"/>
          <w:lang w:val="es-ES"/>
        </w:rPr>
      </w:pPr>
      <w:r w:rsidRPr="002D306C">
        <w:rPr>
          <w:rFonts w:ascii="Arial" w:hAnsi="Arial" w:cs="Arial"/>
          <w:lang w:val="es-ES"/>
        </w:rPr>
        <w:t>La variación generada en esta partida corresponde a la depreciación men</w:t>
      </w:r>
      <w:r w:rsidR="00816DFB" w:rsidRPr="002D306C">
        <w:rPr>
          <w:rFonts w:ascii="Arial" w:hAnsi="Arial" w:cs="Arial"/>
          <w:lang w:val="es-ES"/>
        </w:rPr>
        <w:t>sual.</w:t>
      </w:r>
    </w:p>
    <w:p w:rsidR="00816DFB" w:rsidRPr="002D306C" w:rsidRDefault="00816DFB" w:rsidP="0072178D">
      <w:pPr>
        <w:jc w:val="both"/>
        <w:rPr>
          <w:rFonts w:ascii="Arial" w:hAnsi="Arial" w:cs="Arial"/>
          <w:lang w:val="es-ES"/>
        </w:rPr>
      </w:pPr>
    </w:p>
    <w:p w:rsidR="00F76E78" w:rsidRPr="0072178D" w:rsidRDefault="00F76E78" w:rsidP="0072178D">
      <w:pPr>
        <w:pStyle w:val="Ttulo3"/>
        <w:jc w:val="both"/>
        <w:rPr>
          <w:color w:val="365F91"/>
        </w:rPr>
      </w:pPr>
      <w:r w:rsidRPr="0072178D">
        <w:rPr>
          <w:color w:val="365F91"/>
        </w:rPr>
        <w:t>NOTA No. 24 - Otras Obras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Candara" w:hAnsi="Candara" w:cs="Arial"/>
          <w:color w:val="000000"/>
          <w:sz w:val="24"/>
          <w:szCs w:val="24"/>
          <w:lang w:val="es-ES"/>
        </w:rPr>
      </w:pPr>
    </w:p>
    <w:bookmarkStart w:id="113" w:name="_MON_1430570070"/>
    <w:bookmarkEnd w:id="113"/>
    <w:bookmarkStart w:id="114" w:name="_MON_1490594352"/>
    <w:bookmarkEnd w:id="114"/>
    <w:p w:rsidR="00F76E78" w:rsidRDefault="00A926E1"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46" type="#_x0000_t75" style="width:508.5pt;height:82.5pt" o:ole="">
            <v:imagedata r:id="rId50" o:title=""/>
          </v:shape>
          <o:OLEObject Type="Embed" ProgID="Excel.Sheet.12" ShapeID="_x0000_i1046" DrawAspect="Content" ObjectID="_1554906122" r:id="rId51"/>
        </w:object>
      </w:r>
    </w:p>
    <w:p w:rsidR="00F76E78" w:rsidRPr="00F76E78" w:rsidRDefault="00F76E78" w:rsidP="0072178D">
      <w:pPr>
        <w:pStyle w:val="Ttulo3"/>
        <w:jc w:val="both"/>
        <w:rPr>
          <w:color w:val="365F91"/>
        </w:rPr>
      </w:pPr>
      <w:r w:rsidRPr="00F76E78">
        <w:rPr>
          <w:color w:val="365F91"/>
        </w:rPr>
        <w:t>NOTA No. 25 - Depreciación Acumulada de Otras Obras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Candara" w:hAnsi="Candara" w:cs="Arial"/>
          <w:color w:val="000000"/>
          <w:lang w:val="es-ES"/>
        </w:rPr>
      </w:pPr>
    </w:p>
    <w:bookmarkStart w:id="115" w:name="_MON_1430570154"/>
    <w:bookmarkEnd w:id="115"/>
    <w:bookmarkStart w:id="116" w:name="_MON_1490594360"/>
    <w:bookmarkEnd w:id="116"/>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47" type="#_x0000_t75" style="width:508.5pt;height:82.5pt" o:ole="">
            <v:imagedata r:id="rId52" o:title=""/>
          </v:shape>
          <o:OLEObject Type="Embed" ProgID="Excel.Sheet.12" ShapeID="_x0000_i1047" DrawAspect="Content" ObjectID="_1554906123" r:id="rId53"/>
        </w:object>
      </w:r>
    </w:p>
    <w:p w:rsidR="00D17BFF" w:rsidRDefault="00D17BFF">
      <w:pPr>
        <w:rPr>
          <w:b/>
          <w:bCs/>
          <w:color w:val="365F91"/>
          <w:sz w:val="24"/>
          <w:lang w:val="es-ES"/>
        </w:rPr>
      </w:pPr>
      <w:r>
        <w:rPr>
          <w:color w:val="365F91"/>
        </w:rPr>
        <w:br w:type="page"/>
      </w:r>
    </w:p>
    <w:p w:rsidR="00F76E78" w:rsidRPr="00F76E78" w:rsidRDefault="00F76E78" w:rsidP="0072178D">
      <w:pPr>
        <w:pStyle w:val="Ttulo3"/>
        <w:jc w:val="both"/>
        <w:rPr>
          <w:color w:val="365F91"/>
        </w:rPr>
      </w:pPr>
      <w:r w:rsidRPr="00F76E78">
        <w:rPr>
          <w:color w:val="365F91"/>
        </w:rPr>
        <w:lastRenderedPageBreak/>
        <w:t xml:space="preserve">NOTA No. 26 – Otros Bienes Duraderos </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117" w:name="_MON_1430570187"/>
    <w:bookmarkEnd w:id="117"/>
    <w:bookmarkStart w:id="118" w:name="_MON_1490594369"/>
    <w:bookmarkEnd w:id="118"/>
    <w:p w:rsidR="00816DFB" w:rsidRDefault="00A926E1"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48" type="#_x0000_t75" style="width:508.5pt;height:82.5pt" o:ole="">
            <v:imagedata r:id="rId54" o:title=""/>
          </v:shape>
          <o:OLEObject Type="Embed" ProgID="Excel.Sheet.12" ShapeID="_x0000_i1048" DrawAspect="Content" ObjectID="_1554906124" r:id="rId55"/>
        </w:object>
      </w:r>
    </w:p>
    <w:p w:rsidR="00F76E78" w:rsidRPr="00F76E78" w:rsidRDefault="00F76E78" w:rsidP="0072178D">
      <w:pPr>
        <w:pStyle w:val="Ttulo3"/>
        <w:jc w:val="both"/>
        <w:rPr>
          <w:color w:val="365F91"/>
        </w:rPr>
      </w:pPr>
      <w:r w:rsidRPr="00F76E78">
        <w:rPr>
          <w:color w:val="365F91"/>
        </w:rPr>
        <w:t>NOTA No. 27 - Semovientes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119" w:name="_MON_1430570216"/>
    <w:bookmarkEnd w:id="119"/>
    <w:bookmarkStart w:id="120" w:name="_MON_1490594383"/>
    <w:bookmarkEnd w:id="120"/>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49" type="#_x0000_t75" style="width:508.5pt;height:82.5pt" o:ole="">
            <v:imagedata r:id="rId56" o:title=""/>
          </v:shape>
          <o:OLEObject Type="Embed" ProgID="Excel.Sheet.12" ShapeID="_x0000_i1049" DrawAspect="Content" ObjectID="_1554906125" r:id="rId57"/>
        </w:object>
      </w:r>
    </w:p>
    <w:p w:rsidR="00F76E78" w:rsidRPr="00F76E78" w:rsidRDefault="00F76E78" w:rsidP="0072178D">
      <w:pPr>
        <w:pStyle w:val="Ttulo3"/>
        <w:jc w:val="both"/>
        <w:rPr>
          <w:color w:val="365F91"/>
        </w:rPr>
      </w:pPr>
      <w:r w:rsidRPr="00F76E78">
        <w:rPr>
          <w:color w:val="365F91"/>
        </w:rPr>
        <w:t>NOTA No. 28 - Amortización y Agotamiento de Semovientes</w:t>
      </w:r>
    </w:p>
    <w:p w:rsidR="00D17BFF" w:rsidRPr="002D306C" w:rsidRDefault="00D17BFF"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816DFB" w:rsidRPr="002D306C" w:rsidRDefault="00816DFB" w:rsidP="0072178D">
      <w:pPr>
        <w:spacing w:line="276" w:lineRule="auto"/>
        <w:jc w:val="both"/>
        <w:rPr>
          <w:rFonts w:ascii="Arial" w:hAnsi="Arial" w:cs="Arial"/>
          <w:color w:val="000000"/>
          <w:lang w:val="es-ES"/>
        </w:rPr>
      </w:pPr>
    </w:p>
    <w:bookmarkStart w:id="121" w:name="_MON_1430570260"/>
    <w:bookmarkEnd w:id="121"/>
    <w:bookmarkStart w:id="122" w:name="_MON_1490594394"/>
    <w:bookmarkEnd w:id="122"/>
    <w:p w:rsidR="00F76E78"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50" type="#_x0000_t75" style="width:508.5pt;height:82.5pt" o:ole="">
            <v:imagedata r:id="rId58" o:title=""/>
          </v:shape>
          <o:OLEObject Type="Embed" ProgID="Excel.Sheet.12" ShapeID="_x0000_i1050" DrawAspect="Content" ObjectID="_1554906126" r:id="rId59"/>
        </w:object>
      </w:r>
    </w:p>
    <w:p w:rsidR="00F76E78" w:rsidRPr="00F76E78" w:rsidRDefault="00F76E78" w:rsidP="0072178D">
      <w:pPr>
        <w:spacing w:line="276" w:lineRule="auto"/>
        <w:jc w:val="both"/>
        <w:rPr>
          <w:rFonts w:ascii="Cambria" w:hAnsi="Cambria"/>
          <w:b/>
          <w:bCs/>
          <w:color w:val="365F91"/>
        </w:rPr>
      </w:pPr>
    </w:p>
    <w:p w:rsidR="00F76E78" w:rsidRPr="00F76E78" w:rsidRDefault="00F76E78" w:rsidP="0072178D">
      <w:pPr>
        <w:pStyle w:val="Ttulo3"/>
        <w:jc w:val="both"/>
        <w:rPr>
          <w:color w:val="365F91"/>
        </w:rPr>
      </w:pPr>
      <w:r w:rsidRPr="00F76E78">
        <w:rPr>
          <w:color w:val="365F91"/>
        </w:rPr>
        <w:t>NOTA No. 29 - Piezas de Colección</w:t>
      </w:r>
    </w:p>
    <w:p w:rsidR="00D17BFF" w:rsidRDefault="00D17BFF"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 xml:space="preserve">Constituye el registro de </w:t>
      </w:r>
      <w:r w:rsidR="00886A97">
        <w:rPr>
          <w:rFonts w:ascii="Arial" w:hAnsi="Arial" w:cs="Arial"/>
          <w:lang w:val="es-CR"/>
        </w:rPr>
        <w:t>5</w:t>
      </w:r>
      <w:r w:rsidR="00343EB0">
        <w:rPr>
          <w:rFonts w:ascii="Arial" w:hAnsi="Arial" w:cs="Arial"/>
          <w:lang w:val="es-CR"/>
        </w:rPr>
        <w:t xml:space="preserve"> esculturas y 6</w:t>
      </w:r>
      <w:r w:rsidR="00886A97">
        <w:rPr>
          <w:rFonts w:ascii="Arial" w:hAnsi="Arial" w:cs="Arial"/>
          <w:lang w:val="es-CR"/>
        </w:rPr>
        <w:t>8</w:t>
      </w:r>
      <w:r w:rsidR="00343EB0">
        <w:rPr>
          <w:rFonts w:ascii="Arial" w:hAnsi="Arial" w:cs="Arial"/>
          <w:lang w:val="es-CR"/>
        </w:rPr>
        <w:t xml:space="preserve"> obras de arte.</w:t>
      </w:r>
      <w:r w:rsidR="00816DFB">
        <w:rPr>
          <w:rFonts w:ascii="Arial" w:hAnsi="Arial" w:cs="Arial"/>
          <w:lang w:val="es-CR"/>
        </w:rPr>
        <w:t xml:space="preserve"> Las cuales fueron revaluadas en Octubre 2014 por el Museo de Arte Costarricense.</w:t>
      </w:r>
    </w:p>
    <w:p w:rsidR="00F76E78" w:rsidRDefault="00F76E78" w:rsidP="0072178D">
      <w:pPr>
        <w:jc w:val="both"/>
        <w:rPr>
          <w:rFonts w:ascii="Arial" w:hAnsi="Arial" w:cs="Arial"/>
          <w:lang w:val="es-CR"/>
        </w:rPr>
      </w:pPr>
    </w:p>
    <w:bookmarkStart w:id="123" w:name="_MON_1458469977"/>
    <w:bookmarkStart w:id="124" w:name="_MON_1490594406"/>
    <w:bookmarkStart w:id="125" w:name="_MON_1430570291"/>
    <w:bookmarkStart w:id="126" w:name="_MON_1483874186"/>
    <w:bookmarkEnd w:id="123"/>
    <w:bookmarkEnd w:id="124"/>
    <w:bookmarkEnd w:id="125"/>
    <w:bookmarkEnd w:id="126"/>
    <w:bookmarkStart w:id="127" w:name="_MON_1466571659"/>
    <w:bookmarkEnd w:id="127"/>
    <w:p w:rsidR="00886A97" w:rsidRDefault="00A926E1"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51" type="#_x0000_t75" style="width:508.5pt;height:82.5pt" o:ole="">
            <v:imagedata r:id="rId60" o:title=""/>
          </v:shape>
          <o:OLEObject Type="Embed" ProgID="Excel.Sheet.12" ShapeID="_x0000_i1051" DrawAspect="Content" ObjectID="_1554906127" r:id="rId61"/>
        </w:object>
      </w:r>
    </w:p>
    <w:p w:rsidR="004072E8" w:rsidRDefault="004072E8">
      <w:pPr>
        <w:rPr>
          <w:b/>
          <w:bCs/>
          <w:color w:val="365F91"/>
          <w:sz w:val="24"/>
          <w:lang w:val="es-ES"/>
        </w:rPr>
      </w:pPr>
      <w:r>
        <w:rPr>
          <w:color w:val="365F91"/>
        </w:rPr>
        <w:br w:type="page"/>
      </w:r>
    </w:p>
    <w:p w:rsidR="00F76E78" w:rsidRPr="00F76E78" w:rsidRDefault="00F76E78" w:rsidP="0072178D">
      <w:pPr>
        <w:pStyle w:val="Ttulo3"/>
        <w:jc w:val="both"/>
        <w:rPr>
          <w:color w:val="365F91"/>
        </w:rPr>
      </w:pPr>
      <w:r w:rsidRPr="00F76E78">
        <w:rPr>
          <w:color w:val="365F91"/>
        </w:rPr>
        <w:lastRenderedPageBreak/>
        <w:t>NOTA No. 30 - Bienes de uso público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Candara" w:hAnsi="Candara" w:cs="Arial"/>
          <w:color w:val="000000"/>
          <w:lang w:val="es-ES"/>
        </w:rPr>
      </w:pPr>
    </w:p>
    <w:bookmarkStart w:id="128" w:name="_MON_1430570338"/>
    <w:bookmarkEnd w:id="128"/>
    <w:bookmarkStart w:id="129" w:name="_MON_1490594521"/>
    <w:bookmarkEnd w:id="129"/>
    <w:p w:rsidR="00F76E78" w:rsidRDefault="00A926E1"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52" type="#_x0000_t75" style="width:508.5pt;height:82.5pt" o:ole="">
            <v:imagedata r:id="rId62" o:title=""/>
          </v:shape>
          <o:OLEObject Type="Embed" ProgID="Excel.Sheet.12" ShapeID="_x0000_i1052" DrawAspect="Content" ObjectID="_1554906128" r:id="rId63"/>
        </w:object>
      </w:r>
    </w:p>
    <w:p w:rsidR="00F76E78" w:rsidRPr="00F76E78" w:rsidRDefault="00F76E78" w:rsidP="0072178D">
      <w:pPr>
        <w:pStyle w:val="Ttulo3"/>
        <w:jc w:val="both"/>
        <w:rPr>
          <w:color w:val="365F91"/>
        </w:rPr>
      </w:pPr>
      <w:r w:rsidRPr="00F76E78">
        <w:rPr>
          <w:color w:val="365F91"/>
        </w:rPr>
        <w:t>NOTA No. 31 - Patentes</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30" w:name="_MON_1430570377"/>
    <w:bookmarkEnd w:id="130"/>
    <w:bookmarkStart w:id="131" w:name="_MON_1490594534"/>
    <w:bookmarkEnd w:id="131"/>
    <w:p w:rsidR="00F76E78" w:rsidRDefault="00A926E1"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53" type="#_x0000_t75" style="width:508.5pt;height:82.5pt" o:ole="">
            <v:imagedata r:id="rId64" o:title=""/>
          </v:shape>
          <o:OLEObject Type="Embed" ProgID="Excel.Sheet.12" ShapeID="_x0000_i1053" DrawAspect="Content" ObjectID="_1554906129" r:id="rId65"/>
        </w:object>
      </w:r>
    </w:p>
    <w:p w:rsidR="00F76E78" w:rsidRPr="00F76E78" w:rsidRDefault="00F76E78" w:rsidP="0072178D">
      <w:pPr>
        <w:pStyle w:val="Ttulo3"/>
        <w:jc w:val="both"/>
        <w:rPr>
          <w:color w:val="365F91"/>
        </w:rPr>
      </w:pPr>
      <w:r w:rsidRPr="00F76E78">
        <w:rPr>
          <w:color w:val="365F91"/>
        </w:rPr>
        <w:t>NOTA No. 32 - Derechos</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816DFB" w:rsidRPr="002D306C" w:rsidRDefault="00816DFB" w:rsidP="0072178D">
      <w:pPr>
        <w:spacing w:line="276" w:lineRule="auto"/>
        <w:jc w:val="both"/>
        <w:rPr>
          <w:rFonts w:ascii="Arial" w:hAnsi="Arial" w:cs="Arial"/>
          <w:color w:val="000000"/>
          <w:lang w:val="es-ES"/>
        </w:rPr>
      </w:pPr>
    </w:p>
    <w:bookmarkStart w:id="132" w:name="_MON_1430570481"/>
    <w:bookmarkEnd w:id="132"/>
    <w:bookmarkStart w:id="133" w:name="_MON_1490594544"/>
    <w:bookmarkEnd w:id="133"/>
    <w:p w:rsidR="00F76E78" w:rsidRPr="00F76E78" w:rsidRDefault="00A926E1" w:rsidP="0072178D">
      <w:pPr>
        <w:spacing w:line="276" w:lineRule="auto"/>
        <w:jc w:val="both"/>
        <w:rPr>
          <w:rFonts w:ascii="Cambria" w:hAnsi="Cambria"/>
          <w:b/>
          <w:bCs/>
          <w:color w:val="365F91"/>
        </w:rPr>
      </w:pPr>
      <w:r w:rsidRPr="009164C7">
        <w:rPr>
          <w:rFonts w:ascii="Candara" w:hAnsi="Candara" w:cs="Arial"/>
          <w:color w:val="000000"/>
          <w:sz w:val="24"/>
          <w:szCs w:val="24"/>
        </w:rPr>
        <w:object w:dxaOrig="10187" w:dyaOrig="1496">
          <v:shape id="_x0000_i1054" type="#_x0000_t75" style="width:508.5pt;height:82.5pt" o:ole="">
            <v:imagedata r:id="rId66" o:title=""/>
          </v:shape>
          <o:OLEObject Type="Embed" ProgID="Excel.Sheet.12" ShapeID="_x0000_i1054" DrawAspect="Content" ObjectID="_1554906130" r:id="rId67"/>
        </w:object>
      </w:r>
    </w:p>
    <w:p w:rsidR="00F76E78" w:rsidRPr="00F76E78" w:rsidRDefault="00F76E78" w:rsidP="0072178D">
      <w:pPr>
        <w:pStyle w:val="Ttulo3"/>
        <w:jc w:val="both"/>
        <w:rPr>
          <w:color w:val="365F91"/>
        </w:rPr>
      </w:pPr>
      <w:r w:rsidRPr="00F76E78">
        <w:rPr>
          <w:color w:val="365F91"/>
        </w:rPr>
        <w:t>NOTA No. 33 - Depósitos</w:t>
      </w:r>
    </w:p>
    <w:p w:rsidR="004072E8" w:rsidRDefault="004072E8" w:rsidP="0072178D">
      <w:pPr>
        <w:jc w:val="both"/>
        <w:rPr>
          <w:rFonts w:ascii="Arial" w:hAnsi="Arial" w:cs="Arial"/>
          <w:lang w:val="es-CR"/>
        </w:rPr>
      </w:pPr>
    </w:p>
    <w:p w:rsidR="00F76E78" w:rsidRDefault="004C188E" w:rsidP="0072178D">
      <w:pPr>
        <w:jc w:val="both"/>
        <w:rPr>
          <w:rFonts w:ascii="Arial" w:hAnsi="Arial" w:cs="Arial"/>
          <w:lang w:val="es-CR"/>
        </w:rPr>
      </w:pPr>
      <w:r>
        <w:rPr>
          <w:rFonts w:ascii="Arial" w:hAnsi="Arial" w:cs="Arial"/>
          <w:lang w:val="es-CR"/>
        </w:rPr>
        <w:t>Depósitos de garantía solicitados para la construcción de obras.</w:t>
      </w:r>
    </w:p>
    <w:p w:rsidR="00F76E78" w:rsidRDefault="00F76E78" w:rsidP="0072178D">
      <w:pPr>
        <w:jc w:val="both"/>
        <w:rPr>
          <w:rFonts w:ascii="Arial" w:hAnsi="Arial" w:cs="Arial"/>
          <w:lang w:val="es-CR"/>
        </w:rPr>
      </w:pPr>
    </w:p>
    <w:bookmarkStart w:id="134" w:name="_MON_1430570507"/>
    <w:bookmarkStart w:id="135" w:name="_MON_1490594554"/>
    <w:bookmarkStart w:id="136" w:name="_MON_1483874299"/>
    <w:bookmarkEnd w:id="134"/>
    <w:bookmarkEnd w:id="135"/>
    <w:bookmarkEnd w:id="136"/>
    <w:bookmarkStart w:id="137" w:name="_MON_1458470060"/>
    <w:bookmarkEnd w:id="137"/>
    <w:p w:rsidR="00F76E78" w:rsidRDefault="004C188E"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55" type="#_x0000_t75" style="width:508.5pt;height:82.5pt" o:ole="">
            <v:imagedata r:id="rId68" o:title=""/>
          </v:shape>
          <o:OLEObject Type="Embed" ProgID="Excel.Sheet.12" ShapeID="_x0000_i1055" DrawAspect="Content" ObjectID="_1554906131" r:id="rId69"/>
        </w:object>
      </w:r>
    </w:p>
    <w:p w:rsidR="004C188E" w:rsidRPr="004C188E" w:rsidRDefault="004C188E" w:rsidP="0072178D">
      <w:pPr>
        <w:spacing w:line="276" w:lineRule="auto"/>
        <w:jc w:val="both"/>
        <w:rPr>
          <w:rFonts w:ascii="Arial" w:hAnsi="Arial" w:cs="Arial"/>
          <w:color w:val="000000"/>
          <w:lang w:val="es-CR"/>
        </w:rPr>
      </w:pPr>
      <w:r w:rsidRPr="004C188E">
        <w:rPr>
          <w:rFonts w:ascii="Arial" w:hAnsi="Arial" w:cs="Arial"/>
          <w:color w:val="000000"/>
          <w:lang w:val="es-CR"/>
        </w:rPr>
        <w:t>La diferencia corresponde a la eliminación del depósito por uso de líneas telefónicas y a la inclusión del depósito de garantía para la construcción de la IV Etapa del Archivo Nacional.</w:t>
      </w:r>
    </w:p>
    <w:p w:rsidR="004072E8" w:rsidRPr="002D306C" w:rsidRDefault="004072E8">
      <w:pPr>
        <w:rPr>
          <w:color w:val="365F91"/>
          <w:lang w:val="es-ES"/>
        </w:rPr>
      </w:pPr>
    </w:p>
    <w:p w:rsidR="004C188E" w:rsidRDefault="004C188E">
      <w:pPr>
        <w:rPr>
          <w:b/>
          <w:bCs/>
          <w:color w:val="365F91"/>
          <w:sz w:val="24"/>
          <w:lang w:val="es-ES"/>
        </w:rPr>
      </w:pPr>
    </w:p>
    <w:p w:rsidR="004C188E" w:rsidRDefault="004C188E" w:rsidP="0072178D">
      <w:pPr>
        <w:pStyle w:val="Ttulo3"/>
        <w:jc w:val="both"/>
        <w:rPr>
          <w:color w:val="365F91"/>
        </w:rPr>
      </w:pPr>
    </w:p>
    <w:p w:rsidR="004C188E" w:rsidRDefault="004C188E" w:rsidP="0072178D">
      <w:pPr>
        <w:pStyle w:val="Ttulo3"/>
        <w:jc w:val="both"/>
        <w:rPr>
          <w:color w:val="365F91"/>
        </w:rPr>
      </w:pPr>
    </w:p>
    <w:p w:rsidR="00F76E78" w:rsidRPr="00F76E78" w:rsidRDefault="00F76E78" w:rsidP="0072178D">
      <w:pPr>
        <w:pStyle w:val="Ttulo3"/>
        <w:jc w:val="both"/>
        <w:rPr>
          <w:color w:val="365F91"/>
        </w:rPr>
      </w:pPr>
      <w:r w:rsidRPr="00F76E78">
        <w:rPr>
          <w:color w:val="365F91"/>
        </w:rPr>
        <w:t>NOTA No. 34 - Licencias</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38" w:name="_MON_1430570536"/>
    <w:bookmarkEnd w:id="138"/>
    <w:bookmarkStart w:id="139" w:name="_MON_1490594573"/>
    <w:bookmarkEnd w:id="139"/>
    <w:p w:rsidR="00F76E78" w:rsidRPr="003C0972" w:rsidRDefault="00A926E1"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56" type="#_x0000_t75" style="width:508.5pt;height:82.5pt" o:ole="">
            <v:imagedata r:id="rId70" o:title=""/>
          </v:shape>
          <o:OLEObject Type="Embed" ProgID="Excel.Sheet.12" ShapeID="_x0000_i1056" DrawAspect="Content" ObjectID="_1554906132" r:id="rId71"/>
        </w:object>
      </w:r>
    </w:p>
    <w:p w:rsidR="00F76E78" w:rsidRPr="00F76E78" w:rsidRDefault="00F76E78" w:rsidP="0072178D">
      <w:pPr>
        <w:pStyle w:val="Ttulo3"/>
        <w:jc w:val="both"/>
        <w:rPr>
          <w:color w:val="365F91"/>
        </w:rPr>
      </w:pPr>
      <w:bookmarkStart w:id="140" w:name="_MON_1396033791"/>
      <w:bookmarkEnd w:id="140"/>
      <w:r w:rsidRPr="00F76E78">
        <w:rPr>
          <w:color w:val="365F91"/>
        </w:rPr>
        <w:t xml:space="preserve">NOTA No. 35 - Decomisos </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41" w:name="_MON_1430570661"/>
    <w:bookmarkEnd w:id="141"/>
    <w:bookmarkStart w:id="142" w:name="_MON_1490594582"/>
    <w:bookmarkEnd w:id="142"/>
    <w:p w:rsidR="00F76E78" w:rsidRDefault="00A926E1"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57" type="#_x0000_t75" style="width:508.5pt;height:82.5pt" o:ole="">
            <v:imagedata r:id="rId72" o:title=""/>
          </v:shape>
          <o:OLEObject Type="Embed" ProgID="Excel.Sheet.12" ShapeID="_x0000_i1057" DrawAspect="Content" ObjectID="_1554906133" r:id="rId73"/>
        </w:object>
      </w:r>
    </w:p>
    <w:p w:rsidR="00F76E78" w:rsidRPr="002D306C" w:rsidRDefault="00F76E78" w:rsidP="0072178D">
      <w:pPr>
        <w:pStyle w:val="Ttulo1"/>
        <w:rPr>
          <w:lang w:val="es-ES"/>
        </w:rPr>
      </w:pPr>
      <w:r w:rsidRPr="002D306C">
        <w:rPr>
          <w:lang w:val="es-ES"/>
        </w:rPr>
        <w:t>Pasivo y Patrimonio</w:t>
      </w:r>
    </w:p>
    <w:p w:rsidR="00F76E78" w:rsidRPr="00F76E78" w:rsidRDefault="00F76E78" w:rsidP="0072178D">
      <w:pPr>
        <w:pStyle w:val="Ttulo2"/>
        <w:jc w:val="both"/>
        <w:rPr>
          <w:color w:val="365F91"/>
        </w:rPr>
      </w:pPr>
      <w:r w:rsidRPr="00F76E78">
        <w:rPr>
          <w:color w:val="365F91"/>
        </w:rPr>
        <w:t>Pasivo Corriente</w:t>
      </w:r>
    </w:p>
    <w:p w:rsidR="0072178D" w:rsidRDefault="0072178D" w:rsidP="0072178D">
      <w:pPr>
        <w:pStyle w:val="Ttulo3"/>
        <w:jc w:val="both"/>
        <w:rPr>
          <w:color w:val="365F91"/>
        </w:rPr>
      </w:pPr>
    </w:p>
    <w:p w:rsidR="00F76E78" w:rsidRPr="00F76E78" w:rsidRDefault="00F76E78" w:rsidP="0072178D">
      <w:pPr>
        <w:pStyle w:val="Ttulo3"/>
        <w:jc w:val="both"/>
        <w:rPr>
          <w:color w:val="365F91"/>
        </w:rPr>
      </w:pPr>
      <w:r w:rsidRPr="00F76E78">
        <w:rPr>
          <w:color w:val="365F91"/>
        </w:rPr>
        <w:t>NOTA No. 36 - Cuentas por pagar corto plazo</w:t>
      </w:r>
    </w:p>
    <w:p w:rsidR="004072E8" w:rsidRDefault="004072E8" w:rsidP="00816DFB">
      <w:pPr>
        <w:jc w:val="both"/>
        <w:rPr>
          <w:rFonts w:ascii="Arial" w:hAnsi="Arial" w:cs="Arial"/>
          <w:lang w:val="es-CR"/>
        </w:rPr>
      </w:pPr>
    </w:p>
    <w:p w:rsidR="00F76E78" w:rsidRDefault="00F76E78" w:rsidP="00816DFB">
      <w:pPr>
        <w:jc w:val="both"/>
        <w:rPr>
          <w:rFonts w:ascii="Arial" w:hAnsi="Arial" w:cs="Arial"/>
          <w:lang w:val="es-CR"/>
        </w:rPr>
      </w:pPr>
      <w:r>
        <w:rPr>
          <w:rFonts w:ascii="Arial" w:hAnsi="Arial" w:cs="Arial"/>
          <w:lang w:val="es-CR"/>
        </w:rPr>
        <w:t>Las cuentas por pagar al 3</w:t>
      </w:r>
      <w:r w:rsidR="002D7A98">
        <w:rPr>
          <w:rFonts w:ascii="Arial" w:hAnsi="Arial" w:cs="Arial"/>
          <w:lang w:val="es-CR"/>
        </w:rPr>
        <w:t>1</w:t>
      </w:r>
      <w:r>
        <w:rPr>
          <w:rFonts w:ascii="Arial" w:hAnsi="Arial" w:cs="Arial"/>
          <w:lang w:val="es-CR"/>
        </w:rPr>
        <w:t xml:space="preserve"> de </w:t>
      </w:r>
      <w:r w:rsidR="002D7A98">
        <w:rPr>
          <w:rFonts w:ascii="Arial" w:hAnsi="Arial" w:cs="Arial"/>
          <w:lang w:val="es-CR"/>
        </w:rPr>
        <w:t>diciemb</w:t>
      </w:r>
      <w:r w:rsidR="00A71C06">
        <w:rPr>
          <w:rFonts w:ascii="Arial" w:hAnsi="Arial" w:cs="Arial"/>
          <w:lang w:val="es-CR"/>
        </w:rPr>
        <w:t>re</w:t>
      </w:r>
      <w:r w:rsidR="004072E8">
        <w:rPr>
          <w:rFonts w:ascii="Arial" w:hAnsi="Arial" w:cs="Arial"/>
          <w:lang w:val="es-CR"/>
        </w:rPr>
        <w:t xml:space="preserve"> </w:t>
      </w:r>
      <w:r>
        <w:rPr>
          <w:rFonts w:ascii="Arial" w:hAnsi="Arial" w:cs="Arial"/>
          <w:lang w:val="es-CR"/>
        </w:rPr>
        <w:t>del 201</w:t>
      </w:r>
      <w:r w:rsidR="00E6032C">
        <w:rPr>
          <w:rFonts w:ascii="Arial" w:hAnsi="Arial" w:cs="Arial"/>
          <w:lang w:val="es-CR"/>
        </w:rPr>
        <w:t>6</w:t>
      </w:r>
      <w:r>
        <w:rPr>
          <w:rFonts w:ascii="Arial" w:hAnsi="Arial" w:cs="Arial"/>
          <w:lang w:val="es-CR"/>
        </w:rPr>
        <w:t xml:space="preserve">, se detallan a continuación: </w:t>
      </w:r>
    </w:p>
    <w:p w:rsidR="002D7A98" w:rsidRDefault="002D7A98" w:rsidP="00816DFB">
      <w:pPr>
        <w:jc w:val="both"/>
        <w:rPr>
          <w:rFonts w:ascii="Arial" w:hAnsi="Arial" w:cs="Arial"/>
          <w:lang w:val="es-CR"/>
        </w:rPr>
      </w:pPr>
    </w:p>
    <w:tbl>
      <w:tblPr>
        <w:tblW w:w="5721" w:type="dxa"/>
        <w:jc w:val="center"/>
        <w:tblCellMar>
          <w:left w:w="70" w:type="dxa"/>
          <w:right w:w="70" w:type="dxa"/>
        </w:tblCellMar>
        <w:tblLook w:val="04A0" w:firstRow="1" w:lastRow="0" w:firstColumn="1" w:lastColumn="0" w:noHBand="0" w:noVBand="1"/>
      </w:tblPr>
      <w:tblGrid>
        <w:gridCol w:w="4331"/>
        <w:gridCol w:w="1390"/>
      </w:tblGrid>
      <w:tr w:rsidR="002D7A98" w:rsidRPr="0050248C" w:rsidTr="00B1435E">
        <w:trPr>
          <w:trHeight w:val="255"/>
          <w:jc w:val="center"/>
        </w:trPr>
        <w:tc>
          <w:tcPr>
            <w:tcW w:w="4331" w:type="dxa"/>
            <w:tcBorders>
              <w:top w:val="single" w:sz="8" w:space="0" w:color="auto"/>
              <w:left w:val="single" w:sz="8" w:space="0" w:color="auto"/>
              <w:bottom w:val="nil"/>
              <w:right w:val="single" w:sz="8" w:space="0" w:color="auto"/>
            </w:tcBorders>
            <w:shd w:val="clear" w:color="auto" w:fill="auto"/>
            <w:noWrap/>
            <w:vAlign w:val="bottom"/>
            <w:hideMark/>
          </w:tcPr>
          <w:p w:rsidR="002D7A98" w:rsidRPr="0050248C" w:rsidRDefault="002D7A98" w:rsidP="00B1435E">
            <w:pPr>
              <w:jc w:val="center"/>
              <w:rPr>
                <w:b/>
                <w:bCs/>
                <w:lang w:val="es-ES"/>
              </w:rPr>
            </w:pPr>
            <w:r w:rsidRPr="0050248C">
              <w:rPr>
                <w:b/>
                <w:bCs/>
                <w:lang w:val="es-ES"/>
              </w:rPr>
              <w:t>ACREEDOR</w:t>
            </w:r>
          </w:p>
        </w:tc>
        <w:tc>
          <w:tcPr>
            <w:tcW w:w="1390" w:type="dxa"/>
            <w:tcBorders>
              <w:top w:val="single" w:sz="8" w:space="0" w:color="auto"/>
              <w:left w:val="nil"/>
              <w:bottom w:val="nil"/>
              <w:right w:val="single" w:sz="8" w:space="0" w:color="auto"/>
            </w:tcBorders>
            <w:shd w:val="clear" w:color="auto" w:fill="auto"/>
            <w:noWrap/>
            <w:vAlign w:val="bottom"/>
            <w:hideMark/>
          </w:tcPr>
          <w:p w:rsidR="002D7A98" w:rsidRPr="0050248C" w:rsidRDefault="002D7A98" w:rsidP="00B1435E">
            <w:pPr>
              <w:jc w:val="center"/>
              <w:rPr>
                <w:b/>
                <w:bCs/>
                <w:lang w:val="es-ES"/>
              </w:rPr>
            </w:pPr>
            <w:r w:rsidRPr="0050248C">
              <w:rPr>
                <w:b/>
                <w:bCs/>
                <w:lang w:val="es-ES"/>
              </w:rPr>
              <w:t>MONTO</w:t>
            </w:r>
          </w:p>
        </w:tc>
      </w:tr>
      <w:tr w:rsidR="002D7A98" w:rsidRPr="0050248C" w:rsidTr="00B1435E">
        <w:trPr>
          <w:trHeight w:val="255"/>
          <w:jc w:val="center"/>
        </w:trPr>
        <w:tc>
          <w:tcPr>
            <w:tcW w:w="43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Sistema Nacional de Radio y Televisión</w:t>
            </w:r>
          </w:p>
        </w:tc>
        <w:tc>
          <w:tcPr>
            <w:tcW w:w="1390" w:type="dxa"/>
            <w:tcBorders>
              <w:top w:val="single" w:sz="4" w:space="0" w:color="auto"/>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1,224,500.00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Fondo General de Gobierno</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215.60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Correos de Costa Rica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1,105,530.00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Banco de Costa Rica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183,301.00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Imprenta Nacional</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202,660.00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Arqcont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4,828,822.20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Accesos Automáticos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150,000.00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2D306C" w:rsidRDefault="002D7A98" w:rsidP="00B1435E">
            <w:r w:rsidRPr="002D306C">
              <w:t>ACG Arisol Consulting Group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165,000.00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Acondicionamiento de Oficinas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251,372.80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Alfatec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47,736.00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Alrotek de Centroamérica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350,000.00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Ana Patricia Segura Solís</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857,124.00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Asesorías Creativas en Desarrollo Integral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125,000.00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ATM Comercial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442,091.52</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AVTEC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549,750.24</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Componentes El Orbe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25,760,348.80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Consorcio de Información y Seguridad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14,289,855.50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Constructora A y M Desarrollos Urbanísticos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100,000.00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Consultécnica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38,317,915.09</w:t>
            </w:r>
          </w:p>
        </w:tc>
      </w:tr>
    </w:tbl>
    <w:p w:rsidR="002D7A98" w:rsidRDefault="002D7A98">
      <w:r>
        <w:br w:type="page"/>
      </w:r>
    </w:p>
    <w:tbl>
      <w:tblPr>
        <w:tblW w:w="5721" w:type="dxa"/>
        <w:jc w:val="center"/>
        <w:tblCellMar>
          <w:left w:w="70" w:type="dxa"/>
          <w:right w:w="70" w:type="dxa"/>
        </w:tblCellMar>
        <w:tblLook w:val="04A0" w:firstRow="1" w:lastRow="0" w:firstColumn="1" w:lastColumn="0" w:noHBand="0" w:noVBand="1"/>
      </w:tblPr>
      <w:tblGrid>
        <w:gridCol w:w="4331"/>
        <w:gridCol w:w="1390"/>
      </w:tblGrid>
      <w:tr w:rsidR="002D7A98" w:rsidRPr="002D7A98" w:rsidTr="002D7A98">
        <w:trPr>
          <w:trHeight w:val="255"/>
          <w:jc w:val="center"/>
        </w:trPr>
        <w:tc>
          <w:tcPr>
            <w:tcW w:w="4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A98" w:rsidRPr="002D7A98" w:rsidRDefault="002D7A98" w:rsidP="002D7A98">
            <w:pPr>
              <w:jc w:val="center"/>
              <w:rPr>
                <w:b/>
                <w:lang w:val="es-ES"/>
              </w:rPr>
            </w:pPr>
            <w:r w:rsidRPr="002D7A98">
              <w:rPr>
                <w:b/>
                <w:lang w:val="es-ES"/>
              </w:rPr>
              <w:lastRenderedPageBreak/>
              <w:t>ACREEDOR</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A98" w:rsidRPr="002D7A98" w:rsidRDefault="002D7A98" w:rsidP="002D7A98">
            <w:pPr>
              <w:jc w:val="center"/>
              <w:rPr>
                <w:b/>
                <w:lang w:val="es-ES"/>
              </w:rPr>
            </w:pPr>
            <w:r w:rsidRPr="002D7A98">
              <w:rPr>
                <w:b/>
                <w:lang w:val="es-ES"/>
              </w:rPr>
              <w:t>MONTO</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Consulting Group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802,332.80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Control Ecológico de Plagas Tabaoda y Asoc</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516,037.50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Corporación Quimisol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439,660.00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Distribuidora y Envasadora de Químicos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3,769,150.00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Daniela Teresa Romero Solano</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857,124.00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Equilsa LTDA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167,500.00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Scarleth Patricia Balladares Aviles</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1,150,116.00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Edgar Gutiérrez López</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42,727.78</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Fesa Formas Eficientes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98,054.91</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Fundación Tecnológica de Costa Rica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79,676.20</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Futuris Consulting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2,130,403.37</w:t>
            </w:r>
          </w:p>
        </w:tc>
      </w:tr>
      <w:tr w:rsidR="002D7A98" w:rsidRPr="0050248C" w:rsidTr="00B1435E">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Grupo de Soluciones Informáticas GSI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17,020,870.15</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Global Q Comunicaciones Internacionales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3,561,990.00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Grupo Nación GN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629,230.00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Grupo Unihospi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275,242.80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Holst Van Patten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403,626.00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I E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462,080.00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LG Servicios Especializados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3,650,400.00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Instituto Iberoamericano Empresarial</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3,024,751.00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IS Productos de Oficina Centroamérica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1,009,943.60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Laura Córdoba Camacho</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857,124.00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Litografía e Imprenta Segura Hermanos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4,128,584.00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Luis Alberto Fonseca Segura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685,000.00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Luz Alba Chacón León</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42,727.78</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Miguel Cruz y Asoc LTDA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701,500.00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Mayra Rodríguez Castro</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750,000.00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Metálica Imperio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251,005.92</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Muebles Crometal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385,936.65</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Mundo Creativo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797,300.00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Printer de Costa Rica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331,911.21</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Red Cultural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270,000.00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2D306C" w:rsidRDefault="002D7A98" w:rsidP="00B1435E">
            <w:r w:rsidRPr="002D306C">
              <w:t>Revolution Technologies REVTEC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460,525.00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Seguridad y Vigilancia SEVIN LTDA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235,300.00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Servicios Técnicos Especializados S.T.E.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403,228.80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Siria Aguilar Castro</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857,124.00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Sistema Empresarial R.C.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9,238,320.00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Spectrum Multimedia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977,184.00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Taller Eléctrico Induni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511,622.50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Tecapro de Costa Rica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1,680,000.00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Time &amp; Attendance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170,000.00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Telefónica de Costa Rica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99,996.91</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BL One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1,226,317.28</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Servi Indoor</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2,300.00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Mariana González Vásquez</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20,000.00</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50248C" w:rsidRDefault="002D7A98" w:rsidP="00B1435E">
            <w:pPr>
              <w:rPr>
                <w:lang w:val="es-ES"/>
              </w:rPr>
            </w:pPr>
            <w:r w:rsidRPr="0050248C">
              <w:rPr>
                <w:lang w:val="es-ES"/>
              </w:rPr>
              <w:t>Instalaciones Telefónica S.A.</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50248C" w:rsidRDefault="002D7A98" w:rsidP="00B1435E">
            <w:pPr>
              <w:jc w:val="right"/>
              <w:rPr>
                <w:lang w:val="es-ES"/>
              </w:rPr>
            </w:pPr>
            <w:r w:rsidRPr="0050248C">
              <w:rPr>
                <w:lang w:val="es-ES"/>
              </w:rPr>
              <w:t>131,964.76</w:t>
            </w:r>
          </w:p>
        </w:tc>
      </w:tr>
      <w:tr w:rsidR="002D7A98" w:rsidRPr="0050248C" w:rsidTr="002D7A98">
        <w:trPr>
          <w:trHeight w:val="255"/>
          <w:jc w:val="center"/>
        </w:trPr>
        <w:tc>
          <w:tcPr>
            <w:tcW w:w="4331" w:type="dxa"/>
            <w:tcBorders>
              <w:top w:val="nil"/>
              <w:left w:val="single" w:sz="8" w:space="0" w:color="auto"/>
              <w:bottom w:val="single" w:sz="4" w:space="0" w:color="auto"/>
              <w:right w:val="single" w:sz="4" w:space="0" w:color="auto"/>
            </w:tcBorders>
            <w:shd w:val="clear" w:color="auto" w:fill="auto"/>
            <w:noWrap/>
            <w:vAlign w:val="bottom"/>
            <w:hideMark/>
          </w:tcPr>
          <w:p w:rsidR="002D7A98" w:rsidRPr="002D7A98" w:rsidRDefault="002D7A98" w:rsidP="002D7A98">
            <w:pPr>
              <w:rPr>
                <w:b/>
                <w:lang w:val="es-ES"/>
              </w:rPr>
            </w:pPr>
            <w:r w:rsidRPr="002D7A98">
              <w:rPr>
                <w:b/>
                <w:lang w:val="es-ES"/>
              </w:rPr>
              <w:t>TOTAL COLONES</w:t>
            </w:r>
          </w:p>
        </w:tc>
        <w:tc>
          <w:tcPr>
            <w:tcW w:w="1390" w:type="dxa"/>
            <w:tcBorders>
              <w:top w:val="nil"/>
              <w:left w:val="nil"/>
              <w:bottom w:val="single" w:sz="4" w:space="0" w:color="auto"/>
              <w:right w:val="single" w:sz="8" w:space="0" w:color="auto"/>
            </w:tcBorders>
            <w:shd w:val="clear" w:color="auto" w:fill="auto"/>
            <w:noWrap/>
            <w:vAlign w:val="bottom"/>
            <w:hideMark/>
          </w:tcPr>
          <w:p w:rsidR="002D7A98" w:rsidRPr="002D7A98" w:rsidRDefault="002D7A98" w:rsidP="00B1435E">
            <w:pPr>
              <w:jc w:val="right"/>
              <w:rPr>
                <w:b/>
                <w:lang w:val="es-ES"/>
              </w:rPr>
            </w:pPr>
            <w:r w:rsidRPr="002D7A98">
              <w:rPr>
                <w:b/>
                <w:lang w:val="es-ES"/>
              </w:rPr>
              <w:t>154,257,111.67</w:t>
            </w:r>
          </w:p>
        </w:tc>
      </w:tr>
    </w:tbl>
    <w:p w:rsidR="002D7A98" w:rsidRDefault="002D7A98" w:rsidP="00816DFB">
      <w:pPr>
        <w:jc w:val="both"/>
        <w:rPr>
          <w:rFonts w:ascii="Arial" w:hAnsi="Arial" w:cs="Arial"/>
          <w:lang w:val="es-CR"/>
        </w:rPr>
      </w:pPr>
    </w:p>
    <w:p w:rsidR="004072E8" w:rsidRDefault="004072E8" w:rsidP="00816DFB">
      <w:pPr>
        <w:jc w:val="both"/>
        <w:rPr>
          <w:rFonts w:ascii="Arial" w:hAnsi="Arial" w:cs="Arial"/>
          <w:lang w:val="es-CR"/>
        </w:rPr>
      </w:pPr>
    </w:p>
    <w:bookmarkStart w:id="143" w:name="_MON_1466571750"/>
    <w:bookmarkStart w:id="144" w:name="_MON_1458470273"/>
    <w:bookmarkStart w:id="145" w:name="_MON_1506405470"/>
    <w:bookmarkStart w:id="146" w:name="_MON_1490594761"/>
    <w:bookmarkStart w:id="147" w:name="_MON_1430570728"/>
    <w:bookmarkStart w:id="148" w:name="_MON_1474885283"/>
    <w:bookmarkStart w:id="149" w:name="_MON_1483874390"/>
    <w:bookmarkEnd w:id="143"/>
    <w:bookmarkEnd w:id="144"/>
    <w:bookmarkEnd w:id="145"/>
    <w:bookmarkEnd w:id="146"/>
    <w:bookmarkEnd w:id="147"/>
    <w:bookmarkEnd w:id="148"/>
    <w:bookmarkEnd w:id="149"/>
    <w:bookmarkStart w:id="150" w:name="_MON_1498300215"/>
    <w:bookmarkEnd w:id="150"/>
    <w:p w:rsidR="004072E8" w:rsidRDefault="002D7A98" w:rsidP="007239FB">
      <w:pPr>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58" type="#_x0000_t75" style="width:508.5pt;height:82.5pt" o:ole="">
            <v:imagedata r:id="rId74" o:title=""/>
          </v:shape>
          <o:OLEObject Type="Embed" ProgID="Excel.Sheet.12" ShapeID="_x0000_i1058" DrawAspect="Content" ObjectID="_1554906134" r:id="rId75"/>
        </w:object>
      </w:r>
      <w:bookmarkStart w:id="151" w:name="_MON_1403505754"/>
      <w:bookmarkEnd w:id="151"/>
    </w:p>
    <w:p w:rsidR="00F76E78" w:rsidRDefault="00E6032C" w:rsidP="007239FB">
      <w:pPr>
        <w:jc w:val="both"/>
        <w:rPr>
          <w:rFonts w:ascii="Arial" w:hAnsi="Arial" w:cs="Arial"/>
          <w:lang w:val="es-CR"/>
        </w:rPr>
      </w:pPr>
      <w:r w:rsidRPr="004072E8">
        <w:rPr>
          <w:rFonts w:ascii="Arial" w:hAnsi="Arial" w:cs="Arial"/>
          <w:lang w:val="es-CR"/>
        </w:rPr>
        <w:t>La disminución</w:t>
      </w:r>
      <w:r w:rsidR="003B684B">
        <w:rPr>
          <w:rFonts w:ascii="Arial" w:hAnsi="Arial" w:cs="Arial"/>
          <w:lang w:val="es-CR"/>
        </w:rPr>
        <w:t xml:space="preserve"> en esta partida corresponde a una </w:t>
      </w:r>
      <w:r w:rsidRPr="004072E8">
        <w:rPr>
          <w:rFonts w:ascii="Arial" w:hAnsi="Arial" w:cs="Arial"/>
          <w:lang w:val="es-CR"/>
        </w:rPr>
        <w:t>menor</w:t>
      </w:r>
      <w:r w:rsidR="003B684B">
        <w:rPr>
          <w:rFonts w:ascii="Arial" w:hAnsi="Arial" w:cs="Arial"/>
          <w:lang w:val="es-CR"/>
        </w:rPr>
        <w:t xml:space="preserve"> adquisición de deudas con respecto al año 201</w:t>
      </w:r>
      <w:r w:rsidRPr="004072E8">
        <w:rPr>
          <w:rFonts w:ascii="Arial" w:hAnsi="Arial" w:cs="Arial"/>
          <w:lang w:val="es-CR"/>
        </w:rPr>
        <w:t>5</w:t>
      </w:r>
      <w:r w:rsidR="003B684B">
        <w:rPr>
          <w:rFonts w:ascii="Arial" w:hAnsi="Arial" w:cs="Arial"/>
          <w:lang w:val="es-CR"/>
        </w:rPr>
        <w:t>.</w:t>
      </w:r>
    </w:p>
    <w:p w:rsidR="004072E8" w:rsidRPr="004072E8" w:rsidRDefault="004072E8" w:rsidP="007239FB">
      <w:pPr>
        <w:jc w:val="both"/>
        <w:rPr>
          <w:rFonts w:ascii="Arial" w:hAnsi="Arial" w:cs="Arial"/>
          <w:lang w:val="es-CR"/>
        </w:rPr>
      </w:pPr>
    </w:p>
    <w:p w:rsidR="00F76E78" w:rsidRPr="00F76E78" w:rsidRDefault="00F76E78" w:rsidP="0072178D">
      <w:pPr>
        <w:pStyle w:val="Ttulo3"/>
        <w:jc w:val="both"/>
        <w:rPr>
          <w:color w:val="365F91"/>
        </w:rPr>
      </w:pPr>
      <w:r w:rsidRPr="00F76E78">
        <w:rPr>
          <w:color w:val="365F91"/>
        </w:rPr>
        <w:t>NOTA No. 37  Retenciones por pagar</w:t>
      </w:r>
    </w:p>
    <w:p w:rsidR="004072E8" w:rsidRDefault="004072E8" w:rsidP="00E6032C">
      <w:pPr>
        <w:rPr>
          <w:rFonts w:ascii="Arial" w:hAnsi="Arial" w:cs="Arial"/>
          <w:lang w:val="es-CR"/>
        </w:rPr>
      </w:pPr>
    </w:p>
    <w:p w:rsidR="00E6032C" w:rsidRDefault="00F76E78" w:rsidP="00E6032C">
      <w:pPr>
        <w:rPr>
          <w:rFonts w:ascii="Arial" w:hAnsi="Arial" w:cs="Arial"/>
          <w:lang w:val="es-CR"/>
        </w:rPr>
      </w:pPr>
      <w:r>
        <w:rPr>
          <w:rFonts w:ascii="Arial" w:hAnsi="Arial" w:cs="Arial"/>
          <w:lang w:val="es-CR"/>
        </w:rPr>
        <w:t>Las retenciones y cargas por pagar al 3</w:t>
      </w:r>
      <w:r w:rsidR="002D7A98">
        <w:rPr>
          <w:rFonts w:ascii="Arial" w:hAnsi="Arial" w:cs="Arial"/>
          <w:lang w:val="es-CR"/>
        </w:rPr>
        <w:t>1</w:t>
      </w:r>
      <w:r>
        <w:rPr>
          <w:rFonts w:ascii="Arial" w:hAnsi="Arial" w:cs="Arial"/>
          <w:lang w:val="es-CR"/>
        </w:rPr>
        <w:t xml:space="preserve"> de </w:t>
      </w:r>
      <w:r w:rsidR="002D7A98">
        <w:rPr>
          <w:rFonts w:ascii="Arial" w:hAnsi="Arial" w:cs="Arial"/>
          <w:lang w:val="es-CR"/>
        </w:rPr>
        <w:t>diciembre</w:t>
      </w:r>
      <w:r w:rsidR="004072E8">
        <w:rPr>
          <w:rFonts w:ascii="Arial" w:hAnsi="Arial" w:cs="Arial"/>
          <w:lang w:val="es-CR"/>
        </w:rPr>
        <w:t xml:space="preserve"> </w:t>
      </w:r>
      <w:r>
        <w:rPr>
          <w:rFonts w:ascii="Arial" w:hAnsi="Arial" w:cs="Arial"/>
          <w:lang w:val="es-CR"/>
        </w:rPr>
        <w:t>del 201</w:t>
      </w:r>
      <w:r w:rsidR="00E6032C">
        <w:rPr>
          <w:rFonts w:ascii="Arial" w:hAnsi="Arial" w:cs="Arial"/>
          <w:lang w:val="es-CR"/>
        </w:rPr>
        <w:t>6</w:t>
      </w:r>
      <w:r>
        <w:rPr>
          <w:rFonts w:ascii="Arial" w:hAnsi="Arial" w:cs="Arial"/>
          <w:lang w:val="es-CR"/>
        </w:rPr>
        <w:t>, se detallan a continuación:</w:t>
      </w:r>
    </w:p>
    <w:p w:rsidR="002D7A98" w:rsidRPr="002D306C" w:rsidRDefault="002D7A98">
      <w:pPr>
        <w:rPr>
          <w:lang w:val="es-ES"/>
        </w:rPr>
      </w:pPr>
    </w:p>
    <w:tbl>
      <w:tblPr>
        <w:tblW w:w="9411" w:type="dxa"/>
        <w:tblInd w:w="-72" w:type="dxa"/>
        <w:tblCellMar>
          <w:left w:w="70" w:type="dxa"/>
          <w:right w:w="70" w:type="dxa"/>
        </w:tblCellMar>
        <w:tblLook w:val="04A0" w:firstRow="1" w:lastRow="0" w:firstColumn="1" w:lastColumn="0" w:noHBand="0" w:noVBand="1"/>
      </w:tblPr>
      <w:tblGrid>
        <w:gridCol w:w="7711"/>
        <w:gridCol w:w="1700"/>
      </w:tblGrid>
      <w:tr w:rsidR="002D7A98" w:rsidRPr="00B922C6" w:rsidTr="00B1435E">
        <w:trPr>
          <w:trHeight w:val="270"/>
        </w:trPr>
        <w:tc>
          <w:tcPr>
            <w:tcW w:w="7711" w:type="dxa"/>
            <w:tcBorders>
              <w:top w:val="single" w:sz="8" w:space="0" w:color="auto"/>
              <w:left w:val="single" w:sz="8" w:space="0" w:color="auto"/>
              <w:bottom w:val="nil"/>
              <w:right w:val="nil"/>
            </w:tcBorders>
            <w:shd w:val="clear" w:color="auto" w:fill="auto"/>
            <w:noWrap/>
            <w:vAlign w:val="bottom"/>
            <w:hideMark/>
          </w:tcPr>
          <w:p w:rsidR="002D7A98" w:rsidRPr="00B922C6" w:rsidRDefault="002D7A98" w:rsidP="00B1435E">
            <w:pPr>
              <w:jc w:val="center"/>
              <w:rPr>
                <w:b/>
                <w:bCs/>
                <w:lang w:val="es-ES"/>
              </w:rPr>
            </w:pPr>
            <w:r w:rsidRPr="00B922C6">
              <w:rPr>
                <w:b/>
                <w:bCs/>
                <w:lang w:val="es-ES"/>
              </w:rPr>
              <w:t>ACREEDOR</w:t>
            </w:r>
          </w:p>
        </w:tc>
        <w:tc>
          <w:tcPr>
            <w:tcW w:w="1700" w:type="dxa"/>
            <w:tcBorders>
              <w:top w:val="single" w:sz="8" w:space="0" w:color="auto"/>
              <w:left w:val="single" w:sz="8" w:space="0" w:color="auto"/>
              <w:bottom w:val="nil"/>
              <w:right w:val="single" w:sz="8" w:space="0" w:color="auto"/>
            </w:tcBorders>
            <w:shd w:val="clear" w:color="auto" w:fill="auto"/>
            <w:noWrap/>
            <w:vAlign w:val="bottom"/>
            <w:hideMark/>
          </w:tcPr>
          <w:p w:rsidR="002D7A98" w:rsidRPr="00B922C6" w:rsidRDefault="002D7A98" w:rsidP="00B1435E">
            <w:pPr>
              <w:jc w:val="center"/>
              <w:rPr>
                <w:b/>
                <w:bCs/>
                <w:lang w:val="es-ES"/>
              </w:rPr>
            </w:pPr>
            <w:r w:rsidRPr="00B922C6">
              <w:rPr>
                <w:b/>
                <w:bCs/>
                <w:lang w:val="es-ES"/>
              </w:rPr>
              <w:t xml:space="preserve"> MONTO </w:t>
            </w:r>
          </w:p>
        </w:tc>
      </w:tr>
      <w:tr w:rsidR="002D7A98" w:rsidRPr="00B922C6" w:rsidTr="00B1435E">
        <w:trPr>
          <w:trHeight w:val="255"/>
        </w:trPr>
        <w:tc>
          <w:tcPr>
            <w:tcW w:w="771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C.C.S.S.</w:t>
            </w:r>
          </w:p>
        </w:tc>
        <w:tc>
          <w:tcPr>
            <w:tcW w:w="1700" w:type="dxa"/>
            <w:tcBorders>
              <w:top w:val="single" w:sz="8" w:space="0" w:color="auto"/>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9,533,075.7</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COOPESERVIDORES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8,208,148.9</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I.N.S.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179,287.0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ANEP POLIZA</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15,000.0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ANEP</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118,951.9</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COLEGIO DE LICENCIADOS Y PROFESORES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32,500.0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ANDE</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20,000.0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IMPUESTO DE RENTA SALARIOS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4,400,331.3</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BANCO POPULAR PRESTAMOS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5,325,619.1</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BANCO POPULAR FIDEICOMISO</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125,860.0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BANCO POPULAR PENSIONES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140,000.0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BN VITAL</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7,000.0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COLEGIO DE PROFESIONALES EN CIENCIAS ECONOMICAS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110,095.0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PENSION ALIMENTARIA</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585,329.8</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COOPECAJA</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1,172,897.1</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COOPEANDE5</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61,495.0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COOPENAE</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2,714,131.7</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COOPE SAN GABRIEL</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146,184.2</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VIDA PLENA</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20,000.0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ASEMICULTURA EMPLEADOS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2,111,306.6</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ROBLEALTO</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61,500.0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BCR PENSIONES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40,000.0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EMBARGOS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721,391.1</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SALARIO ESCOLAR POR PAGAR</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109,119,291.89</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OTRAS REMUNERACIONES BASICAS POR PAGAR</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1,526,361.15</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DECIMOTERCER MES POR PAGAR</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19,461,217.27</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CONTRIBUCIONES PATRONALES AL DESARROLLO Y LA SEGURIDAD SOCIAL</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16,922,656.80</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CONTRIBUCIONES PATRONALES A FONDOS DE PENSIONES Y A OTROS FONDOS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6,283,369.46</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OTRAS DEUDAS POR BENEFICIOS A LOS EMPLEADOS C/P</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1,113,165.92</w:t>
            </w:r>
          </w:p>
        </w:tc>
      </w:tr>
      <w:tr w:rsidR="002D7A98" w:rsidRPr="00B922C6" w:rsidTr="00B1435E">
        <w:trPr>
          <w:trHeight w:val="255"/>
        </w:trPr>
        <w:tc>
          <w:tcPr>
            <w:tcW w:w="7711" w:type="dxa"/>
            <w:tcBorders>
              <w:top w:val="nil"/>
              <w:left w:val="single" w:sz="8" w:space="0" w:color="auto"/>
              <w:bottom w:val="single" w:sz="4" w:space="0" w:color="auto"/>
              <w:right w:val="single" w:sz="4" w:space="0" w:color="auto"/>
            </w:tcBorders>
            <w:shd w:val="clear" w:color="auto" w:fill="auto"/>
            <w:noWrap/>
            <w:vAlign w:val="bottom"/>
            <w:hideMark/>
          </w:tcPr>
          <w:p w:rsidR="002D7A98" w:rsidRPr="00B922C6" w:rsidRDefault="002D7A98" w:rsidP="00B1435E">
            <w:pPr>
              <w:rPr>
                <w:lang w:val="es-ES"/>
              </w:rPr>
            </w:pPr>
            <w:r w:rsidRPr="00B922C6">
              <w:rPr>
                <w:lang w:val="es-ES"/>
              </w:rPr>
              <w:t>RETENCIONES DE IMPUESTOS NACIONALES</w:t>
            </w:r>
          </w:p>
        </w:tc>
        <w:tc>
          <w:tcPr>
            <w:tcW w:w="1700" w:type="dxa"/>
            <w:tcBorders>
              <w:top w:val="nil"/>
              <w:left w:val="nil"/>
              <w:bottom w:val="single" w:sz="4" w:space="0" w:color="auto"/>
              <w:right w:val="single" w:sz="8" w:space="0" w:color="auto"/>
            </w:tcBorders>
            <w:shd w:val="clear" w:color="auto" w:fill="auto"/>
            <w:noWrap/>
            <w:vAlign w:val="bottom"/>
            <w:hideMark/>
          </w:tcPr>
          <w:p w:rsidR="002D7A98" w:rsidRPr="00B922C6" w:rsidRDefault="002D7A98" w:rsidP="00B1435E">
            <w:pPr>
              <w:jc w:val="right"/>
              <w:rPr>
                <w:lang w:val="es-ES"/>
              </w:rPr>
            </w:pPr>
            <w:r w:rsidRPr="00B922C6">
              <w:rPr>
                <w:lang w:val="es-ES"/>
              </w:rPr>
              <w:t>1,111,404.37</w:t>
            </w:r>
          </w:p>
        </w:tc>
      </w:tr>
      <w:tr w:rsidR="002D7A98" w:rsidRPr="00B922C6" w:rsidTr="00B1435E">
        <w:trPr>
          <w:trHeight w:val="270"/>
        </w:trPr>
        <w:tc>
          <w:tcPr>
            <w:tcW w:w="7711" w:type="dxa"/>
            <w:tcBorders>
              <w:top w:val="nil"/>
              <w:left w:val="single" w:sz="8" w:space="0" w:color="auto"/>
              <w:bottom w:val="single" w:sz="8" w:space="0" w:color="auto"/>
              <w:right w:val="single" w:sz="4" w:space="0" w:color="auto"/>
            </w:tcBorders>
            <w:shd w:val="clear" w:color="auto" w:fill="auto"/>
            <w:noWrap/>
            <w:vAlign w:val="bottom"/>
            <w:hideMark/>
          </w:tcPr>
          <w:p w:rsidR="002D7A98" w:rsidRPr="00B922C6" w:rsidRDefault="002D7A98" w:rsidP="00B1435E">
            <w:pPr>
              <w:jc w:val="center"/>
              <w:rPr>
                <w:b/>
                <w:bCs/>
                <w:lang w:val="es-ES"/>
              </w:rPr>
            </w:pPr>
            <w:r w:rsidRPr="00B922C6">
              <w:rPr>
                <w:b/>
                <w:bCs/>
                <w:lang w:val="es-ES"/>
              </w:rPr>
              <w:t>TOTAL</w:t>
            </w:r>
          </w:p>
        </w:tc>
        <w:tc>
          <w:tcPr>
            <w:tcW w:w="1700" w:type="dxa"/>
            <w:tcBorders>
              <w:top w:val="nil"/>
              <w:left w:val="nil"/>
              <w:bottom w:val="single" w:sz="8" w:space="0" w:color="auto"/>
              <w:right w:val="single" w:sz="8" w:space="0" w:color="auto"/>
            </w:tcBorders>
            <w:shd w:val="clear" w:color="auto" w:fill="auto"/>
            <w:noWrap/>
            <w:vAlign w:val="bottom"/>
            <w:hideMark/>
          </w:tcPr>
          <w:p w:rsidR="002D7A98" w:rsidRPr="00B922C6" w:rsidRDefault="002D7A98" w:rsidP="00B1435E">
            <w:pPr>
              <w:rPr>
                <w:b/>
                <w:bCs/>
                <w:lang w:val="es-ES"/>
              </w:rPr>
            </w:pPr>
            <w:r w:rsidRPr="00B922C6">
              <w:rPr>
                <w:b/>
                <w:bCs/>
                <w:lang w:val="es-ES"/>
              </w:rPr>
              <w:t xml:space="preserve">    </w:t>
            </w:r>
            <w:r>
              <w:rPr>
                <w:b/>
                <w:bCs/>
                <w:lang w:val="es-ES"/>
              </w:rPr>
              <w:t xml:space="preserve"> </w:t>
            </w:r>
            <w:r w:rsidRPr="00B922C6">
              <w:rPr>
                <w:b/>
                <w:bCs/>
                <w:lang w:val="es-ES"/>
              </w:rPr>
              <w:t>191,387,571.</w:t>
            </w:r>
            <w:r>
              <w:rPr>
                <w:b/>
                <w:bCs/>
                <w:lang w:val="es-ES"/>
              </w:rPr>
              <w:t>98</w:t>
            </w:r>
            <w:r w:rsidRPr="00B922C6">
              <w:rPr>
                <w:b/>
                <w:bCs/>
                <w:lang w:val="es-ES"/>
              </w:rPr>
              <w:t xml:space="preserve"> </w:t>
            </w:r>
          </w:p>
        </w:tc>
      </w:tr>
    </w:tbl>
    <w:p w:rsidR="006B6F3F" w:rsidRDefault="006B6F3F">
      <w:r>
        <w:br w:type="page"/>
      </w:r>
    </w:p>
    <w:p w:rsidR="00A71C06" w:rsidRDefault="00A71C06" w:rsidP="00E6032C">
      <w:pPr>
        <w:rPr>
          <w:rFonts w:ascii="Arial" w:hAnsi="Arial" w:cs="Arial"/>
          <w:lang w:val="es-CR"/>
        </w:rPr>
      </w:pPr>
    </w:p>
    <w:bookmarkStart w:id="152" w:name="_MON_1466571833"/>
    <w:bookmarkStart w:id="153" w:name="_MON_1458470347"/>
    <w:bookmarkStart w:id="154" w:name="_MON_1506405563"/>
    <w:bookmarkStart w:id="155" w:name="_MON_1490594866"/>
    <w:bookmarkStart w:id="156" w:name="_MON_1430570826"/>
    <w:bookmarkStart w:id="157" w:name="_MON_1474885380"/>
    <w:bookmarkStart w:id="158" w:name="_MON_1483874442"/>
    <w:bookmarkEnd w:id="152"/>
    <w:bookmarkEnd w:id="153"/>
    <w:bookmarkEnd w:id="154"/>
    <w:bookmarkEnd w:id="155"/>
    <w:bookmarkEnd w:id="156"/>
    <w:bookmarkEnd w:id="157"/>
    <w:bookmarkEnd w:id="158"/>
    <w:bookmarkStart w:id="159" w:name="_MON_1498300268"/>
    <w:bookmarkEnd w:id="159"/>
    <w:p w:rsidR="00F76E78" w:rsidRDefault="002D7A98" w:rsidP="004072E8">
      <w:pPr>
        <w:rPr>
          <w:rFonts w:ascii="Candara" w:hAnsi="Candara" w:cs="Arial"/>
          <w:color w:val="000000"/>
          <w:sz w:val="24"/>
          <w:szCs w:val="24"/>
        </w:rPr>
      </w:pPr>
      <w:r w:rsidRPr="009164C7">
        <w:rPr>
          <w:rFonts w:ascii="Candara" w:hAnsi="Candara" w:cs="Arial"/>
          <w:color w:val="000000"/>
          <w:sz w:val="24"/>
          <w:szCs w:val="24"/>
        </w:rPr>
        <w:object w:dxaOrig="10187" w:dyaOrig="1496">
          <v:shape id="_x0000_i1059" type="#_x0000_t75" style="width:508.5pt;height:82.5pt" o:ole="">
            <v:imagedata r:id="rId76" o:title=""/>
          </v:shape>
          <o:OLEObject Type="Embed" ProgID="Excel.Sheet.12" ShapeID="_x0000_i1059" DrawAspect="Content" ObjectID="_1554906135" r:id="rId77"/>
        </w:object>
      </w:r>
    </w:p>
    <w:p w:rsidR="00F76E78" w:rsidRDefault="00513EFC" w:rsidP="0072178D">
      <w:pPr>
        <w:jc w:val="both"/>
        <w:rPr>
          <w:rFonts w:ascii="Arial" w:hAnsi="Arial" w:cs="Arial"/>
          <w:lang w:val="es-CR"/>
        </w:rPr>
      </w:pPr>
      <w:r>
        <w:rPr>
          <w:rFonts w:ascii="Arial" w:hAnsi="Arial" w:cs="Arial"/>
          <w:lang w:val="es-CR"/>
        </w:rPr>
        <w:t xml:space="preserve">La variación en esta partida corresponde </w:t>
      </w:r>
      <w:r w:rsidR="00E6032C">
        <w:rPr>
          <w:rFonts w:ascii="Arial" w:hAnsi="Arial" w:cs="Arial"/>
          <w:lang w:val="es-CR"/>
        </w:rPr>
        <w:t>a la provisión que se realiza por Salario Escolar y Aguinaldo.</w:t>
      </w:r>
    </w:p>
    <w:p w:rsidR="00513EFC" w:rsidRDefault="00513EFC" w:rsidP="0072178D">
      <w:pPr>
        <w:jc w:val="both"/>
        <w:rPr>
          <w:rFonts w:ascii="Arial" w:hAnsi="Arial" w:cs="Arial"/>
          <w:lang w:val="es-CR"/>
        </w:rPr>
      </w:pPr>
    </w:p>
    <w:p w:rsidR="00F76E78" w:rsidRPr="00F76E78" w:rsidRDefault="00F76E78" w:rsidP="0072178D">
      <w:pPr>
        <w:pStyle w:val="Ttulo3"/>
        <w:jc w:val="both"/>
        <w:rPr>
          <w:color w:val="365F91"/>
        </w:rPr>
      </w:pPr>
      <w:r w:rsidRPr="00F76E78">
        <w:rPr>
          <w:color w:val="365F91"/>
        </w:rPr>
        <w:t>NOTA No. 38 - Gastos acumulados por pagar</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60" w:name="_MON_1430570880"/>
    <w:bookmarkEnd w:id="160"/>
    <w:bookmarkStart w:id="161" w:name="_MON_1490594951"/>
    <w:bookmarkEnd w:id="161"/>
    <w:p w:rsidR="00F76E78" w:rsidRPr="004B16DC" w:rsidRDefault="00E6032C" w:rsidP="0072178D">
      <w:pPr>
        <w:spacing w:line="276" w:lineRule="auto"/>
        <w:jc w:val="both"/>
        <w:rPr>
          <w:rFonts w:ascii="Arial" w:hAnsi="Arial" w:cs="Arial"/>
          <w:color w:val="000000"/>
        </w:rPr>
      </w:pPr>
      <w:r w:rsidRPr="009164C7">
        <w:rPr>
          <w:rFonts w:ascii="Candara" w:hAnsi="Candara" w:cs="Arial"/>
          <w:color w:val="000000"/>
          <w:sz w:val="24"/>
          <w:szCs w:val="24"/>
        </w:rPr>
        <w:object w:dxaOrig="10187" w:dyaOrig="1496">
          <v:shape id="_x0000_i1060" type="#_x0000_t75" style="width:508.5pt;height:82.5pt" o:ole="">
            <v:imagedata r:id="rId78" o:title=""/>
          </v:shape>
          <o:OLEObject Type="Embed" ProgID="Excel.Sheet.12" ShapeID="_x0000_i1060" DrawAspect="Content" ObjectID="_1554906136" r:id="rId79"/>
        </w:object>
      </w:r>
    </w:p>
    <w:p w:rsidR="00F76E78" w:rsidRPr="00F76E78" w:rsidRDefault="00F76E78" w:rsidP="0072178D">
      <w:pPr>
        <w:pStyle w:val="Ttulo3"/>
        <w:jc w:val="both"/>
        <w:rPr>
          <w:color w:val="365F91"/>
        </w:rPr>
      </w:pPr>
      <w:r w:rsidRPr="00F76E78">
        <w:rPr>
          <w:color w:val="365F91"/>
        </w:rPr>
        <w:t>NOTA No. 39 - Endeudamiento corto plazo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62" w:name="_MON_1430637759"/>
    <w:bookmarkEnd w:id="162"/>
    <w:bookmarkStart w:id="163" w:name="_MON_1490594959"/>
    <w:bookmarkEnd w:id="163"/>
    <w:p w:rsidR="00F76E78" w:rsidRPr="002D306C" w:rsidRDefault="00E6032C" w:rsidP="0072178D">
      <w:pPr>
        <w:spacing w:line="276" w:lineRule="auto"/>
        <w:jc w:val="both"/>
        <w:rPr>
          <w:rFonts w:ascii="Arial" w:hAnsi="Arial" w:cs="Arial"/>
          <w:color w:val="000000"/>
          <w:lang w:val="es-ES"/>
        </w:rPr>
      </w:pPr>
      <w:r w:rsidRPr="009164C7">
        <w:rPr>
          <w:rFonts w:ascii="Candara" w:hAnsi="Candara" w:cs="Arial"/>
          <w:color w:val="000000"/>
          <w:sz w:val="24"/>
          <w:szCs w:val="24"/>
        </w:rPr>
        <w:object w:dxaOrig="10187" w:dyaOrig="1496">
          <v:shape id="_x0000_i1061" type="#_x0000_t75" style="width:508.5pt;height:82.5pt" o:ole="">
            <v:imagedata r:id="rId80" o:title=""/>
          </v:shape>
          <o:OLEObject Type="Embed" ProgID="Excel.Sheet.12" ShapeID="_x0000_i1061" DrawAspect="Content" ObjectID="_1554906137" r:id="rId81"/>
        </w:object>
      </w:r>
      <w:r w:rsidR="00F76E78" w:rsidRPr="002D306C">
        <w:rPr>
          <w:rFonts w:ascii="Arial" w:hAnsi="Arial" w:cs="Arial"/>
          <w:b/>
          <w:color w:val="000000"/>
          <w:u w:val="single"/>
          <w:lang w:val="es-ES"/>
        </w:rPr>
        <w:t xml:space="preserve"> </w:t>
      </w:r>
    </w:p>
    <w:p w:rsidR="00F76E78" w:rsidRPr="00F76E78" w:rsidRDefault="00F76E78" w:rsidP="0072178D">
      <w:pPr>
        <w:pStyle w:val="Ttulo3"/>
        <w:jc w:val="both"/>
        <w:rPr>
          <w:color w:val="365F91"/>
        </w:rPr>
      </w:pPr>
      <w:r w:rsidRPr="00F76E78">
        <w:rPr>
          <w:color w:val="365F91"/>
        </w:rPr>
        <w:t>NOTA No. 40 - Endeudamiento a largo plazo, porción corto plazo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spacing w:line="276" w:lineRule="auto"/>
        <w:jc w:val="both"/>
        <w:rPr>
          <w:rFonts w:ascii="Arial" w:hAnsi="Arial" w:cs="Arial"/>
          <w:color w:val="000000"/>
          <w:lang w:val="es-ES"/>
        </w:rPr>
      </w:pPr>
    </w:p>
    <w:bookmarkStart w:id="164" w:name="_MON_1430637809"/>
    <w:bookmarkEnd w:id="164"/>
    <w:bookmarkStart w:id="165" w:name="_MON_1490594968"/>
    <w:bookmarkEnd w:id="165"/>
    <w:p w:rsidR="00F76E78" w:rsidRPr="003C0972" w:rsidRDefault="00E6032C"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820">
          <v:shape id="_x0000_i1062" type="#_x0000_t75" style="width:508.5pt;height:99.75pt" o:ole="">
            <v:imagedata r:id="rId82" o:title=""/>
          </v:shape>
          <o:OLEObject Type="Embed" ProgID="Excel.Sheet.12" ShapeID="_x0000_i1062" DrawAspect="Content" ObjectID="_1554906138" r:id="rId83"/>
        </w:object>
      </w:r>
    </w:p>
    <w:p w:rsidR="002D7A98" w:rsidRDefault="002D7A98">
      <w:pPr>
        <w:rPr>
          <w:b/>
          <w:bCs/>
          <w:color w:val="365F91"/>
          <w:sz w:val="24"/>
          <w:lang w:val="es-ES"/>
        </w:rPr>
      </w:pPr>
      <w:r>
        <w:rPr>
          <w:color w:val="365F91"/>
        </w:rPr>
        <w:br w:type="page"/>
      </w:r>
    </w:p>
    <w:p w:rsidR="00F76E78" w:rsidRDefault="00F76E78" w:rsidP="0072178D">
      <w:pPr>
        <w:pStyle w:val="Ttulo3"/>
        <w:jc w:val="both"/>
        <w:rPr>
          <w:color w:val="365F91"/>
        </w:rPr>
      </w:pPr>
      <w:r w:rsidRPr="00F76E78">
        <w:rPr>
          <w:color w:val="365F91"/>
        </w:rPr>
        <w:lastRenderedPageBreak/>
        <w:t xml:space="preserve">NOTA No. 41 </w:t>
      </w:r>
      <w:r w:rsidR="006B6F3F">
        <w:rPr>
          <w:color w:val="365F91"/>
        </w:rPr>
        <w:t>–</w:t>
      </w:r>
      <w:r w:rsidRPr="00F76E78">
        <w:rPr>
          <w:color w:val="365F91"/>
        </w:rPr>
        <w:t xml:space="preserve"> Provisiones</w:t>
      </w:r>
    </w:p>
    <w:p w:rsidR="006B6F3F" w:rsidRPr="002D306C" w:rsidRDefault="006B6F3F" w:rsidP="006B6F3F">
      <w:pPr>
        <w:jc w:val="both"/>
        <w:rPr>
          <w:rFonts w:ascii="Arial" w:hAnsi="Arial" w:cs="Arial"/>
          <w:color w:val="000000"/>
          <w:lang w:val="es-ES"/>
        </w:rPr>
      </w:pPr>
    </w:p>
    <w:p w:rsidR="006B6F3F" w:rsidRPr="002D306C" w:rsidRDefault="006B6F3F" w:rsidP="006B6F3F">
      <w:pPr>
        <w:jc w:val="both"/>
        <w:rPr>
          <w:rFonts w:ascii="Arial" w:hAnsi="Arial" w:cs="Arial"/>
          <w:color w:val="000000"/>
          <w:lang w:val="es-ES"/>
        </w:rPr>
      </w:pPr>
      <w:r w:rsidRPr="002D306C">
        <w:rPr>
          <w:rFonts w:ascii="Arial" w:hAnsi="Arial" w:cs="Arial"/>
          <w:color w:val="000000"/>
          <w:lang w:val="es-ES"/>
        </w:rPr>
        <w:t>Cuenta que comprende las estimaciones cuantificables de pasivos de carácter corriente, respecto de los cuales existe incertidumbre acerca de su cuantía y/o de su vencimiento, originados en litigios y demandas entabladas contra el ente y en otras causales, cuya cancelación demandará la salida de recursos del ente público.</w:t>
      </w:r>
    </w:p>
    <w:p w:rsidR="006B6F3F" w:rsidRPr="006B6F3F" w:rsidRDefault="006B6F3F" w:rsidP="006B6F3F">
      <w:pPr>
        <w:rPr>
          <w:lang w:val="es-ES"/>
        </w:rPr>
      </w:pPr>
    </w:p>
    <w:p w:rsidR="00F76E78" w:rsidRPr="002D306C" w:rsidRDefault="00F76E78" w:rsidP="0072178D">
      <w:pPr>
        <w:jc w:val="both"/>
        <w:rPr>
          <w:rFonts w:ascii="Candara" w:hAnsi="Candara" w:cs="Arial"/>
          <w:color w:val="000000"/>
          <w:lang w:val="es-ES"/>
        </w:rPr>
      </w:pPr>
    </w:p>
    <w:bookmarkStart w:id="166" w:name="_MON_1490594986"/>
    <w:bookmarkStart w:id="167" w:name="_MON_1490594996"/>
    <w:bookmarkStart w:id="168" w:name="_MON_1430637888"/>
    <w:bookmarkStart w:id="169" w:name="_MON_1466571883"/>
    <w:bookmarkEnd w:id="166"/>
    <w:bookmarkEnd w:id="167"/>
    <w:bookmarkEnd w:id="168"/>
    <w:bookmarkEnd w:id="169"/>
    <w:bookmarkStart w:id="170" w:name="_MON_1458470470"/>
    <w:bookmarkEnd w:id="170"/>
    <w:p w:rsidR="00F76E78" w:rsidRDefault="006B6F3F"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63" type="#_x0000_t75" style="width:508.5pt;height:82.5pt" o:ole="">
            <v:imagedata r:id="rId84" o:title=""/>
          </v:shape>
          <o:OLEObject Type="Embed" ProgID="Excel.Sheet.12" ShapeID="_x0000_i1063" DrawAspect="Content" ObjectID="_1554906139" r:id="rId85"/>
        </w:object>
      </w:r>
    </w:p>
    <w:p w:rsidR="0072178D" w:rsidRDefault="0072178D" w:rsidP="0072178D">
      <w:pPr>
        <w:pStyle w:val="Ttulo2"/>
        <w:jc w:val="both"/>
        <w:rPr>
          <w:color w:val="365F91"/>
        </w:rPr>
      </w:pPr>
      <w:r>
        <w:rPr>
          <w:color w:val="365F91"/>
        </w:rPr>
        <w:t>Pasivo no Corriente</w:t>
      </w:r>
    </w:p>
    <w:p w:rsidR="0072178D" w:rsidRDefault="0072178D" w:rsidP="0072178D">
      <w:pPr>
        <w:pStyle w:val="Ttulo2"/>
        <w:jc w:val="both"/>
        <w:rPr>
          <w:color w:val="365F91"/>
        </w:rPr>
      </w:pPr>
    </w:p>
    <w:p w:rsidR="00F76E78" w:rsidRPr="00F76E78" w:rsidRDefault="00F76E78" w:rsidP="0072178D">
      <w:pPr>
        <w:pStyle w:val="Ttulo3"/>
        <w:jc w:val="both"/>
        <w:rPr>
          <w:color w:val="365F91"/>
        </w:rPr>
      </w:pPr>
      <w:r w:rsidRPr="00F76E78">
        <w:rPr>
          <w:color w:val="365F91"/>
        </w:rPr>
        <w:t>NOTA No. 42 - Cuentas por pagar largo plazo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171" w:name="_MON_1430637927"/>
    <w:bookmarkEnd w:id="171"/>
    <w:bookmarkStart w:id="172" w:name="_MON_1490595034"/>
    <w:bookmarkEnd w:id="172"/>
    <w:p w:rsidR="00F76E78" w:rsidRPr="004B16DC" w:rsidRDefault="00E6032C" w:rsidP="0072178D">
      <w:pPr>
        <w:spacing w:line="276" w:lineRule="auto"/>
        <w:jc w:val="both"/>
        <w:rPr>
          <w:rFonts w:ascii="Arial" w:hAnsi="Arial" w:cs="Arial"/>
          <w:color w:val="000000"/>
        </w:rPr>
      </w:pPr>
      <w:r w:rsidRPr="009164C7">
        <w:rPr>
          <w:rFonts w:ascii="Candara" w:hAnsi="Candara" w:cs="Arial"/>
          <w:color w:val="000000"/>
          <w:sz w:val="24"/>
          <w:szCs w:val="24"/>
        </w:rPr>
        <w:object w:dxaOrig="10187" w:dyaOrig="1496">
          <v:shape id="_x0000_i1064" type="#_x0000_t75" style="width:508.5pt;height:82.5pt" o:ole="">
            <v:imagedata r:id="rId86" o:title=""/>
          </v:shape>
          <o:OLEObject Type="Embed" ProgID="Excel.Sheet.12" ShapeID="_x0000_i1064" DrawAspect="Content" ObjectID="_1554906140" r:id="rId87"/>
        </w:object>
      </w:r>
    </w:p>
    <w:p w:rsidR="00F76E78" w:rsidRPr="00F76E78" w:rsidRDefault="00F76E78" w:rsidP="0072178D">
      <w:pPr>
        <w:pStyle w:val="Ttulo3"/>
        <w:jc w:val="both"/>
        <w:rPr>
          <w:color w:val="365F91"/>
        </w:rPr>
      </w:pPr>
      <w:r w:rsidRPr="00F76E78">
        <w:rPr>
          <w:color w:val="365F91"/>
        </w:rPr>
        <w:t>NOTA No. 43 - Endeudamiento a largo plazo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173" w:name="_MON_1430637969"/>
    <w:bookmarkEnd w:id="173"/>
    <w:bookmarkStart w:id="174" w:name="_MON_1490595042"/>
    <w:bookmarkEnd w:id="174"/>
    <w:p w:rsidR="00F76E78" w:rsidRPr="003C0972" w:rsidRDefault="00E6032C"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65" type="#_x0000_t75" style="width:508.5pt;height:82.5pt" o:ole="">
            <v:imagedata r:id="rId88" o:title=""/>
          </v:shape>
          <o:OLEObject Type="Embed" ProgID="Excel.Sheet.12" ShapeID="_x0000_i1065" DrawAspect="Content" ObjectID="_1554906141" r:id="rId89"/>
        </w:object>
      </w:r>
    </w:p>
    <w:p w:rsidR="00F76E78" w:rsidRDefault="00F76E78" w:rsidP="00E6032C">
      <w:pPr>
        <w:rPr>
          <w:b/>
          <w:bCs/>
          <w:color w:val="365F91"/>
          <w:sz w:val="24"/>
          <w:lang w:val="es-ES"/>
        </w:rPr>
      </w:pPr>
      <w:r w:rsidRPr="00E6032C">
        <w:rPr>
          <w:b/>
          <w:bCs/>
          <w:color w:val="365F91"/>
          <w:sz w:val="24"/>
          <w:lang w:val="es-ES"/>
        </w:rPr>
        <w:t>NOTA No. 44 - Provisiones para Beneficio Sociales</w:t>
      </w:r>
    </w:p>
    <w:p w:rsidR="006B6F3F" w:rsidRPr="00E6032C" w:rsidRDefault="006B6F3F" w:rsidP="00E6032C">
      <w:pPr>
        <w:rPr>
          <w:b/>
          <w:bCs/>
          <w:color w:val="365F91"/>
          <w:sz w:val="24"/>
          <w:lang w:val="es-ES"/>
        </w:rPr>
      </w:pPr>
    </w:p>
    <w:p w:rsidR="00513EFC" w:rsidRPr="002D306C" w:rsidRDefault="00513EFC" w:rsidP="0072178D">
      <w:pPr>
        <w:spacing w:line="276" w:lineRule="auto"/>
        <w:jc w:val="both"/>
        <w:rPr>
          <w:rFonts w:ascii="Arial" w:hAnsi="Arial" w:cs="Arial"/>
          <w:color w:val="000000"/>
          <w:lang w:val="es-ES"/>
        </w:rPr>
      </w:pPr>
    </w:p>
    <w:bookmarkStart w:id="175" w:name="_MON_1430637999"/>
    <w:bookmarkEnd w:id="175"/>
    <w:bookmarkStart w:id="176" w:name="_MON_1490595050"/>
    <w:bookmarkEnd w:id="176"/>
    <w:p w:rsidR="00F76E78" w:rsidRDefault="002D7A98"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66" type="#_x0000_t75" style="width:508.5pt;height:82.5pt" o:ole="">
            <v:imagedata r:id="rId90" o:title=""/>
          </v:shape>
          <o:OLEObject Type="Embed" ProgID="Excel.Sheet.12" ShapeID="_x0000_i1066" DrawAspect="Content" ObjectID="_1554906142" r:id="rId91"/>
        </w:object>
      </w:r>
    </w:p>
    <w:p w:rsidR="00632EF5" w:rsidRPr="002D306C" w:rsidRDefault="00632EF5" w:rsidP="0072178D">
      <w:pPr>
        <w:spacing w:line="276" w:lineRule="auto"/>
        <w:jc w:val="both"/>
        <w:rPr>
          <w:rFonts w:ascii="Arial" w:hAnsi="Arial" w:cs="Arial"/>
          <w:color w:val="000000"/>
          <w:lang w:val="es-ES"/>
        </w:rPr>
      </w:pPr>
      <w:r w:rsidRPr="002D306C">
        <w:rPr>
          <w:rFonts w:ascii="Arial" w:hAnsi="Arial" w:cs="Arial"/>
          <w:color w:val="000000"/>
          <w:lang w:val="es-ES"/>
        </w:rPr>
        <w:t>Corresponde a la provision mensual de Beneficios Sociales, en aplicación de la NICSP</w:t>
      </w:r>
    </w:p>
    <w:p w:rsidR="00D66C73" w:rsidRDefault="00D66C73">
      <w:pPr>
        <w:rPr>
          <w:b/>
          <w:bCs/>
          <w:color w:val="365F91"/>
          <w:sz w:val="24"/>
          <w:lang w:val="es-ES"/>
        </w:rPr>
      </w:pPr>
    </w:p>
    <w:p w:rsidR="00F76E78" w:rsidRPr="00F76E78" w:rsidRDefault="00F76E78" w:rsidP="0072178D">
      <w:pPr>
        <w:pStyle w:val="Ttulo3"/>
        <w:jc w:val="both"/>
        <w:rPr>
          <w:color w:val="365F91"/>
        </w:rPr>
      </w:pPr>
      <w:r w:rsidRPr="00F76E78">
        <w:rPr>
          <w:color w:val="365F91"/>
        </w:rPr>
        <w:lastRenderedPageBreak/>
        <w:t>NOTA No. 45 - Ingresos cobrados por anticipado</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lang w:val="es-ES"/>
        </w:rPr>
      </w:pPr>
    </w:p>
    <w:bookmarkStart w:id="177" w:name="_MON_1430638077"/>
    <w:bookmarkEnd w:id="177"/>
    <w:bookmarkStart w:id="178" w:name="_MON_1490595059"/>
    <w:bookmarkEnd w:id="178"/>
    <w:p w:rsidR="00513EFC" w:rsidRDefault="007239FB"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67" type="#_x0000_t75" style="width:508.5pt;height:82.5pt" o:ole="">
            <v:imagedata r:id="rId92" o:title=""/>
          </v:shape>
          <o:OLEObject Type="Embed" ProgID="Excel.Sheet.12" ShapeID="_x0000_i1067" DrawAspect="Content" ObjectID="_1554906143" r:id="rId93"/>
        </w:object>
      </w:r>
    </w:p>
    <w:p w:rsidR="00F76E78" w:rsidRPr="0072178D" w:rsidRDefault="00F76E78" w:rsidP="0072178D">
      <w:pPr>
        <w:pStyle w:val="Ttulo3"/>
        <w:jc w:val="both"/>
        <w:rPr>
          <w:color w:val="365F91"/>
        </w:rPr>
      </w:pPr>
      <w:r w:rsidRPr="0072178D">
        <w:rPr>
          <w:color w:val="365F91"/>
        </w:rPr>
        <w:t>NOTA No. 46 - Jubilaciones</w:t>
      </w:r>
    </w:p>
    <w:p w:rsidR="004072E8" w:rsidRPr="002D306C" w:rsidRDefault="004072E8" w:rsidP="0072178D">
      <w:pPr>
        <w:spacing w:line="276" w:lineRule="auto"/>
        <w:jc w:val="both"/>
        <w:rPr>
          <w:rFonts w:ascii="Arial" w:hAnsi="Arial" w:cs="Arial"/>
          <w:color w:val="000000"/>
          <w:lang w:val="es-ES"/>
        </w:rPr>
      </w:pPr>
    </w:p>
    <w:p w:rsidR="00F76E78" w:rsidRPr="002D306C" w:rsidRDefault="00F76E78" w:rsidP="0072178D">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513EFC" w:rsidRPr="002D306C" w:rsidRDefault="00513EFC" w:rsidP="0072178D">
      <w:pPr>
        <w:spacing w:line="276" w:lineRule="auto"/>
        <w:jc w:val="both"/>
        <w:rPr>
          <w:rFonts w:ascii="Arial" w:hAnsi="Arial" w:cs="Arial"/>
          <w:color w:val="000000"/>
          <w:lang w:val="es-ES"/>
        </w:rPr>
      </w:pPr>
    </w:p>
    <w:bookmarkStart w:id="179" w:name="_MON_1430638139"/>
    <w:bookmarkEnd w:id="179"/>
    <w:bookmarkStart w:id="180" w:name="_MON_1490595076"/>
    <w:bookmarkEnd w:id="180"/>
    <w:p w:rsidR="00F76E78" w:rsidRPr="006E641F" w:rsidRDefault="007239FB"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68" type="#_x0000_t75" style="width:508.5pt;height:82.5pt" o:ole="">
            <v:imagedata r:id="rId94" o:title=""/>
          </v:shape>
          <o:OLEObject Type="Embed" ProgID="Excel.Sheet.12" ShapeID="_x0000_i1068" DrawAspect="Content" ObjectID="_1554906144" r:id="rId95"/>
        </w:object>
      </w:r>
    </w:p>
    <w:p w:rsidR="00F76E78" w:rsidRPr="00F76E78" w:rsidRDefault="00F76E78" w:rsidP="0072178D">
      <w:pPr>
        <w:pStyle w:val="Ttulo3"/>
        <w:jc w:val="both"/>
        <w:rPr>
          <w:color w:val="365F91"/>
        </w:rPr>
      </w:pPr>
      <w:r w:rsidRPr="00F76E78">
        <w:rPr>
          <w:color w:val="365F91"/>
        </w:rPr>
        <w:t>NOTA No. 47 - Otras cuentas del pasivo</w:t>
      </w:r>
    </w:p>
    <w:p w:rsidR="004072E8" w:rsidRDefault="004072E8"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Corresponden a garantías de participación y cumplimento dadas en depósito.</w:t>
      </w:r>
    </w:p>
    <w:p w:rsidR="004072E8" w:rsidRDefault="004072E8" w:rsidP="0072178D">
      <w:pPr>
        <w:jc w:val="both"/>
        <w:rPr>
          <w:rFonts w:ascii="Arial" w:hAnsi="Arial" w:cs="Arial"/>
          <w:lang w:val="es-CR"/>
        </w:rPr>
      </w:pPr>
    </w:p>
    <w:bookmarkStart w:id="181" w:name="_MON_1506405608"/>
    <w:bookmarkStart w:id="182" w:name="_MON_1474885402"/>
    <w:bookmarkStart w:id="183" w:name="_MON_1483874520"/>
    <w:bookmarkStart w:id="184" w:name="_MON_1458470663"/>
    <w:bookmarkStart w:id="185" w:name="_MON_1498300291"/>
    <w:bookmarkStart w:id="186" w:name="_MON_1430638178"/>
    <w:bookmarkEnd w:id="181"/>
    <w:bookmarkEnd w:id="182"/>
    <w:bookmarkEnd w:id="183"/>
    <w:bookmarkEnd w:id="184"/>
    <w:bookmarkEnd w:id="185"/>
    <w:bookmarkEnd w:id="186"/>
    <w:bookmarkStart w:id="187" w:name="_MON_1490595087"/>
    <w:bookmarkEnd w:id="187"/>
    <w:p w:rsidR="00F76E78" w:rsidRDefault="002D7A98"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69" type="#_x0000_t75" style="width:508.5pt;height:82.5pt" o:ole="">
            <v:imagedata r:id="rId96" o:title=""/>
          </v:shape>
          <o:OLEObject Type="Embed" ProgID="Excel.Sheet.12" ShapeID="_x0000_i1069" DrawAspect="Content" ObjectID="_1554906145" r:id="rId97"/>
        </w:object>
      </w:r>
    </w:p>
    <w:p w:rsidR="00F76E78" w:rsidRPr="002D306C" w:rsidRDefault="002D7A98" w:rsidP="0072178D">
      <w:pPr>
        <w:spacing w:line="276" w:lineRule="auto"/>
        <w:jc w:val="both"/>
        <w:rPr>
          <w:rFonts w:ascii="Arial" w:hAnsi="Arial" w:cs="Arial"/>
          <w:color w:val="000000"/>
          <w:lang w:val="es-ES"/>
        </w:rPr>
      </w:pPr>
      <w:r w:rsidRPr="002D306C">
        <w:rPr>
          <w:rFonts w:ascii="Arial" w:hAnsi="Arial" w:cs="Arial"/>
          <w:color w:val="000000"/>
          <w:lang w:val="es-ES"/>
        </w:rPr>
        <w:t>El aumento corresponde a depósitos de garantías de participación.</w:t>
      </w:r>
    </w:p>
    <w:p w:rsidR="00F76E78" w:rsidRPr="002D306C" w:rsidRDefault="00F76E78" w:rsidP="0072178D">
      <w:pPr>
        <w:jc w:val="both"/>
        <w:rPr>
          <w:rFonts w:ascii="Candara" w:hAnsi="Candara" w:cs="Arial"/>
          <w:color w:val="000000"/>
          <w:lang w:val="es-ES"/>
        </w:rPr>
      </w:pPr>
    </w:p>
    <w:p w:rsidR="00F76E78" w:rsidRPr="002D306C" w:rsidRDefault="00F76E78" w:rsidP="002D7A98">
      <w:pPr>
        <w:rPr>
          <w:color w:val="365F91"/>
          <w:lang w:val="es-ES"/>
        </w:rPr>
      </w:pPr>
      <w:r w:rsidRPr="002D306C">
        <w:rPr>
          <w:color w:val="365F91"/>
          <w:lang w:val="es-ES"/>
        </w:rPr>
        <w:t>Patrimonio</w:t>
      </w:r>
    </w:p>
    <w:p w:rsidR="0072178D" w:rsidRPr="0072178D" w:rsidRDefault="0072178D" w:rsidP="0072178D">
      <w:pPr>
        <w:jc w:val="both"/>
        <w:rPr>
          <w:lang w:val="es-ES"/>
        </w:rPr>
      </w:pPr>
    </w:p>
    <w:p w:rsidR="00F76E78" w:rsidRDefault="00F76E78" w:rsidP="0072178D">
      <w:pPr>
        <w:pStyle w:val="Ttulo3"/>
        <w:jc w:val="both"/>
        <w:rPr>
          <w:color w:val="365F91"/>
        </w:rPr>
      </w:pPr>
      <w:r w:rsidRPr="00F76E78">
        <w:rPr>
          <w:color w:val="365F91"/>
        </w:rPr>
        <w:t>NOTA No. 48 - Hacienda pública</w:t>
      </w:r>
    </w:p>
    <w:p w:rsidR="004072E8" w:rsidRPr="004072E8" w:rsidRDefault="004072E8" w:rsidP="004072E8">
      <w:pPr>
        <w:rPr>
          <w:lang w:val="es-ES"/>
        </w:rPr>
      </w:pPr>
    </w:p>
    <w:p w:rsidR="00F76E78" w:rsidRPr="00BC04B0" w:rsidRDefault="00F76E78" w:rsidP="0072178D">
      <w:pPr>
        <w:spacing w:line="276" w:lineRule="auto"/>
        <w:jc w:val="both"/>
        <w:rPr>
          <w:rFonts w:ascii="Arial" w:hAnsi="Arial" w:cs="Arial"/>
          <w:lang w:val="es-CR"/>
        </w:rPr>
      </w:pPr>
      <w:r w:rsidRPr="00BC04B0">
        <w:rPr>
          <w:rFonts w:ascii="Arial" w:hAnsi="Arial" w:cs="Arial"/>
          <w:lang w:val="es-CR"/>
        </w:rPr>
        <w:t xml:space="preserve">El Patrimonio está conformado por las capitalizaciones de bienes, el superávit por donación, el cual contempla la capitalización de bienes entregados en donación por organismos internacionales y el Ministerio de Cultura y Juventud  el Superávit por reevaluación, el que incluye la reevaluación de las obras de arte, de acuerdo al avalúo emitido por el Museo de Arte Costarricense.  Igualmente, incluye un avalúo al terreno de la institución realizado en el mes de noviembre del 2008 por la Dirección General de Tributación del Ministerio de Hacienda,  según </w:t>
      </w:r>
      <w:r w:rsidR="00343EB0">
        <w:rPr>
          <w:rFonts w:ascii="Arial" w:hAnsi="Arial" w:cs="Arial"/>
          <w:lang w:val="es-CR"/>
        </w:rPr>
        <w:t>informe de avalúo A.V. 471-2008y a</w:t>
      </w:r>
      <w:r w:rsidRPr="00BC04B0">
        <w:rPr>
          <w:rFonts w:ascii="Arial" w:hAnsi="Arial" w:cs="Arial"/>
          <w:lang w:val="es-CR"/>
        </w:rPr>
        <w:t xml:space="preserve"> </w:t>
      </w:r>
      <w:r w:rsidR="00343EB0" w:rsidRPr="00343EB0">
        <w:rPr>
          <w:rFonts w:ascii="Arial" w:hAnsi="Arial" w:cs="Arial"/>
          <w:lang w:val="es-CR"/>
        </w:rPr>
        <w:t>la revaluación del edificio efectu</w:t>
      </w:r>
      <w:r w:rsidR="00343EB0">
        <w:rPr>
          <w:rFonts w:ascii="Arial" w:hAnsi="Arial" w:cs="Arial"/>
          <w:lang w:val="es-CR"/>
        </w:rPr>
        <w:t>ada el 17 de noviembre de 2009 Avaluó N° AV-407-2009.</w:t>
      </w:r>
    </w:p>
    <w:p w:rsidR="00F76E78" w:rsidRPr="002D306C" w:rsidRDefault="00F76E78" w:rsidP="0072178D">
      <w:pPr>
        <w:spacing w:line="276" w:lineRule="auto"/>
        <w:jc w:val="both"/>
        <w:rPr>
          <w:rFonts w:ascii="Candara" w:hAnsi="Candara" w:cs="Arial"/>
          <w:color w:val="000000"/>
          <w:sz w:val="24"/>
          <w:szCs w:val="24"/>
          <w:lang w:val="es-ES"/>
        </w:rPr>
      </w:pPr>
      <w:r w:rsidRPr="00BC04B0">
        <w:rPr>
          <w:rFonts w:ascii="Arial" w:hAnsi="Arial" w:cs="Arial"/>
          <w:lang w:val="es-CR"/>
        </w:rPr>
        <w:t>Para el año 2014 se solicitó por medio del Oficio DCN-1542-2013 de fecha 18 de diciembre 2013, que se determinara el Patrimonio Inicial, el cual se puede ver reflejado a partir de los Estados Financieros de Enero 2014. El patrimonio inicial se determinó aplicando la fórmula establecida en el oficio antes citado, la cual consiste en: Total de Activos Fijos (tangibles e intangibles) al 31 de diciembre 2013 es igual al Capital Inicial.</w:t>
      </w:r>
    </w:p>
    <w:p w:rsidR="00F76E78" w:rsidRPr="002D306C" w:rsidRDefault="00F76E78" w:rsidP="0072178D">
      <w:pPr>
        <w:jc w:val="both"/>
        <w:rPr>
          <w:rFonts w:ascii="Candara" w:hAnsi="Candara" w:cs="Arial"/>
          <w:color w:val="000000"/>
          <w:sz w:val="24"/>
          <w:szCs w:val="24"/>
          <w:lang w:val="es-ES"/>
        </w:rPr>
      </w:pPr>
    </w:p>
    <w:bookmarkStart w:id="188" w:name="_MON_1483874619"/>
    <w:bookmarkStart w:id="189" w:name="_MON_1506405625"/>
    <w:bookmarkStart w:id="190" w:name="_MON_1458470787"/>
    <w:bookmarkStart w:id="191" w:name="_MON_1474885418"/>
    <w:bookmarkEnd w:id="188"/>
    <w:bookmarkEnd w:id="189"/>
    <w:bookmarkEnd w:id="190"/>
    <w:bookmarkEnd w:id="191"/>
    <w:bookmarkStart w:id="192" w:name="_MON_1490595136"/>
    <w:bookmarkEnd w:id="192"/>
    <w:p w:rsidR="00F76E78" w:rsidRDefault="007239FB" w:rsidP="0072178D">
      <w:pPr>
        <w:spacing w:line="276" w:lineRule="auto"/>
        <w:jc w:val="both"/>
        <w:rPr>
          <w:rFonts w:ascii="Arial" w:hAnsi="Arial" w:cs="Arial"/>
          <w:b/>
          <w:color w:val="000000"/>
          <w:u w:val="single"/>
        </w:rPr>
      </w:pPr>
      <w:r w:rsidRPr="009164C7">
        <w:rPr>
          <w:rFonts w:ascii="Candara" w:hAnsi="Candara" w:cs="Arial"/>
          <w:color w:val="000000"/>
          <w:sz w:val="24"/>
          <w:szCs w:val="24"/>
        </w:rPr>
        <w:object w:dxaOrig="10187" w:dyaOrig="1496">
          <v:shape id="_x0000_i1070" type="#_x0000_t75" style="width:508.5pt;height:82.5pt" o:ole="">
            <v:imagedata r:id="rId98" o:title=""/>
          </v:shape>
          <o:OLEObject Type="Embed" ProgID="Excel.Sheet.12" ShapeID="_x0000_i1070" DrawAspect="Content" ObjectID="_1554906146" r:id="rId99"/>
        </w:object>
      </w:r>
      <w:bookmarkStart w:id="193" w:name="_MON_1396034998"/>
      <w:bookmarkEnd w:id="193"/>
    </w:p>
    <w:p w:rsidR="00F76E78" w:rsidRPr="00F76E78" w:rsidRDefault="00F76E78" w:rsidP="0072178D">
      <w:pPr>
        <w:pStyle w:val="Ttulo3"/>
        <w:jc w:val="both"/>
        <w:rPr>
          <w:color w:val="365F91"/>
        </w:rPr>
      </w:pPr>
      <w:r w:rsidRPr="00F76E78">
        <w:rPr>
          <w:color w:val="365F91"/>
        </w:rPr>
        <w:t>NOTA No. 49 - Reservas</w:t>
      </w:r>
    </w:p>
    <w:p w:rsidR="004072E8" w:rsidRPr="002D306C" w:rsidRDefault="004072E8" w:rsidP="000F53E7">
      <w:pPr>
        <w:spacing w:line="276" w:lineRule="auto"/>
        <w:jc w:val="both"/>
        <w:rPr>
          <w:rFonts w:ascii="Arial" w:hAnsi="Arial" w:cs="Arial"/>
          <w:color w:val="000000"/>
          <w:lang w:val="es-ES"/>
        </w:rPr>
      </w:pPr>
    </w:p>
    <w:p w:rsidR="000F53E7" w:rsidRPr="002D306C" w:rsidRDefault="000F53E7" w:rsidP="000F53E7">
      <w:pPr>
        <w:spacing w:line="276" w:lineRule="auto"/>
        <w:jc w:val="both"/>
        <w:rPr>
          <w:rFonts w:ascii="Arial" w:hAnsi="Arial" w:cs="Arial"/>
          <w:color w:val="000000"/>
          <w:lang w:val="es-ES"/>
        </w:rPr>
      </w:pPr>
      <w:r w:rsidRPr="002D306C">
        <w:rPr>
          <w:rFonts w:ascii="Arial" w:hAnsi="Arial" w:cs="Arial"/>
          <w:color w:val="000000"/>
          <w:lang w:val="es-ES"/>
        </w:rPr>
        <w:t>No aplica en este momento.</w:t>
      </w:r>
    </w:p>
    <w:p w:rsidR="00F76E78" w:rsidRPr="002D306C" w:rsidRDefault="00F76E78" w:rsidP="0072178D">
      <w:pPr>
        <w:jc w:val="both"/>
        <w:rPr>
          <w:rFonts w:ascii="Candara" w:hAnsi="Candara" w:cs="Arial"/>
          <w:color w:val="000000"/>
          <w:sz w:val="24"/>
          <w:szCs w:val="24"/>
          <w:lang w:val="es-ES"/>
        </w:rPr>
      </w:pPr>
    </w:p>
    <w:bookmarkStart w:id="194" w:name="_MON_1490601749"/>
    <w:bookmarkEnd w:id="194"/>
    <w:bookmarkStart w:id="195" w:name="_MON_1490595214"/>
    <w:bookmarkEnd w:id="195"/>
    <w:p w:rsidR="00F76E78" w:rsidRPr="00BE2B5A" w:rsidRDefault="007239FB" w:rsidP="0072178D">
      <w:pPr>
        <w:spacing w:line="276" w:lineRule="auto"/>
        <w:jc w:val="both"/>
        <w:rPr>
          <w:rFonts w:ascii="Candara" w:hAnsi="Candara" w:cs="Arial"/>
          <w:color w:val="000000"/>
        </w:rPr>
      </w:pPr>
      <w:r w:rsidRPr="009164C7">
        <w:rPr>
          <w:rFonts w:ascii="Candara" w:hAnsi="Candara" w:cs="Arial"/>
          <w:color w:val="000000"/>
          <w:sz w:val="24"/>
          <w:szCs w:val="24"/>
        </w:rPr>
        <w:object w:dxaOrig="10187" w:dyaOrig="1496">
          <v:shape id="_x0000_i1071" type="#_x0000_t75" style="width:508.5pt;height:82.5pt" o:ole="">
            <v:imagedata r:id="rId100" o:title=""/>
          </v:shape>
          <o:OLEObject Type="Embed" ProgID="Excel.Sheet.12" ShapeID="_x0000_i1071" DrawAspect="Content" ObjectID="_1554906147" r:id="rId101"/>
        </w:object>
      </w:r>
    </w:p>
    <w:p w:rsidR="00F76E78" w:rsidRPr="00F76E78" w:rsidRDefault="00F76E78" w:rsidP="0072178D">
      <w:pPr>
        <w:pStyle w:val="Ttulo3"/>
        <w:jc w:val="both"/>
        <w:rPr>
          <w:color w:val="365F91"/>
        </w:rPr>
      </w:pPr>
      <w:r w:rsidRPr="00F76E78">
        <w:rPr>
          <w:color w:val="365F91"/>
        </w:rPr>
        <w:t>NOTA No. 50 - Resultados acumulados</w:t>
      </w:r>
    </w:p>
    <w:p w:rsidR="004072E8" w:rsidRDefault="004072E8"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Monto correspondiente a resultados acumulados provenientes de ejercicios anteriores de la institución.</w:t>
      </w:r>
    </w:p>
    <w:p w:rsidR="00F76E78" w:rsidRPr="002D306C" w:rsidRDefault="00F76E78" w:rsidP="0072178D">
      <w:pPr>
        <w:jc w:val="both"/>
        <w:rPr>
          <w:rFonts w:ascii="Candara" w:hAnsi="Candara" w:cs="Arial"/>
          <w:color w:val="000000"/>
          <w:sz w:val="24"/>
          <w:szCs w:val="24"/>
          <w:lang w:val="es-ES"/>
        </w:rPr>
      </w:pPr>
    </w:p>
    <w:bookmarkStart w:id="196" w:name="_MON_1490595245"/>
    <w:bookmarkStart w:id="197" w:name="_MON_1474885430"/>
    <w:bookmarkStart w:id="198" w:name="_MON_1490601775"/>
    <w:bookmarkStart w:id="199" w:name="_MON_1483874634"/>
    <w:bookmarkStart w:id="200" w:name="_MON_1458470904"/>
    <w:bookmarkStart w:id="201" w:name="_MON_1498300339"/>
    <w:bookmarkEnd w:id="196"/>
    <w:bookmarkEnd w:id="197"/>
    <w:bookmarkEnd w:id="198"/>
    <w:bookmarkEnd w:id="199"/>
    <w:bookmarkEnd w:id="200"/>
    <w:bookmarkEnd w:id="201"/>
    <w:bookmarkStart w:id="202" w:name="_MON_1466571986"/>
    <w:bookmarkEnd w:id="202"/>
    <w:p w:rsidR="00F76E78" w:rsidRDefault="002D7A98" w:rsidP="0072178D">
      <w:pPr>
        <w:spacing w:line="276" w:lineRule="auto"/>
        <w:jc w:val="both"/>
        <w:rPr>
          <w:rFonts w:ascii="Arial" w:hAnsi="Arial" w:cs="Arial"/>
        </w:rPr>
      </w:pPr>
      <w:r w:rsidRPr="009164C7">
        <w:rPr>
          <w:rFonts w:ascii="Candara" w:hAnsi="Candara" w:cs="Arial"/>
          <w:color w:val="000000"/>
          <w:sz w:val="24"/>
          <w:szCs w:val="24"/>
        </w:rPr>
        <w:object w:dxaOrig="10187" w:dyaOrig="1496">
          <v:shape id="_x0000_i1072" type="#_x0000_t75" style="width:508.5pt;height:82.5pt" o:ole="">
            <v:imagedata r:id="rId102" o:title=""/>
          </v:shape>
          <o:OLEObject Type="Embed" ProgID="Excel.Sheet.12" ShapeID="_x0000_i1072" DrawAspect="Content" ObjectID="_1554906148" r:id="rId103"/>
        </w:object>
      </w:r>
    </w:p>
    <w:p w:rsidR="004072E8" w:rsidRDefault="004072E8">
      <w:pPr>
        <w:rPr>
          <w:b/>
          <w:bCs/>
          <w:color w:val="365F91"/>
          <w:sz w:val="24"/>
          <w:lang w:val="es-ES"/>
        </w:rPr>
      </w:pPr>
    </w:p>
    <w:p w:rsidR="00F76E78" w:rsidRPr="00F76E78" w:rsidRDefault="00F76E78" w:rsidP="0072178D">
      <w:pPr>
        <w:pStyle w:val="Ttulo3"/>
        <w:jc w:val="both"/>
        <w:rPr>
          <w:color w:val="365F91"/>
        </w:rPr>
      </w:pPr>
      <w:r w:rsidRPr="00F76E78">
        <w:rPr>
          <w:color w:val="365F91"/>
        </w:rPr>
        <w:t>NOTA No. 51 - Resultados del periodo</w:t>
      </w:r>
    </w:p>
    <w:p w:rsidR="004072E8" w:rsidRDefault="004072E8" w:rsidP="0072178D">
      <w:pPr>
        <w:jc w:val="both"/>
        <w:rPr>
          <w:rFonts w:ascii="Arial" w:hAnsi="Arial" w:cs="Arial"/>
          <w:lang w:val="es-CR"/>
        </w:rPr>
      </w:pPr>
    </w:p>
    <w:p w:rsidR="00F76E78" w:rsidRDefault="00F76E78" w:rsidP="0072178D">
      <w:pPr>
        <w:jc w:val="both"/>
        <w:rPr>
          <w:rFonts w:ascii="Arial" w:hAnsi="Arial" w:cs="Arial"/>
          <w:lang w:val="es-CR"/>
        </w:rPr>
      </w:pPr>
      <w:r>
        <w:rPr>
          <w:rFonts w:ascii="Arial" w:hAnsi="Arial" w:cs="Arial"/>
          <w:lang w:val="es-CR"/>
        </w:rPr>
        <w:t>Corresponde a la diferencia entre los ingres</w:t>
      </w:r>
      <w:r w:rsidR="00513EFC">
        <w:rPr>
          <w:rFonts w:ascii="Arial" w:hAnsi="Arial" w:cs="Arial"/>
          <w:lang w:val="es-CR"/>
        </w:rPr>
        <w:t xml:space="preserve">os y los </w:t>
      </w:r>
      <w:r w:rsidR="007239FB">
        <w:rPr>
          <w:rFonts w:ascii="Arial" w:hAnsi="Arial" w:cs="Arial"/>
          <w:lang w:val="es-CR"/>
        </w:rPr>
        <w:t>gastos del período</w:t>
      </w:r>
      <w:r>
        <w:rPr>
          <w:rFonts w:ascii="Arial" w:hAnsi="Arial" w:cs="Arial"/>
          <w:lang w:val="es-CR"/>
        </w:rPr>
        <w:t>.</w:t>
      </w:r>
    </w:p>
    <w:p w:rsidR="00F76E78" w:rsidRPr="002D306C" w:rsidRDefault="00F76E78" w:rsidP="0072178D">
      <w:pPr>
        <w:jc w:val="both"/>
        <w:rPr>
          <w:rFonts w:ascii="Candara" w:hAnsi="Candara" w:cs="Arial"/>
          <w:color w:val="000000"/>
          <w:sz w:val="24"/>
          <w:szCs w:val="24"/>
          <w:lang w:val="es-ES"/>
        </w:rPr>
      </w:pPr>
    </w:p>
    <w:bookmarkStart w:id="203" w:name="_MON_1506405658"/>
    <w:bookmarkStart w:id="204" w:name="_MON_1474885444"/>
    <w:bookmarkStart w:id="205" w:name="_MON_1483874648"/>
    <w:bookmarkStart w:id="206" w:name="_MON_1458470982"/>
    <w:bookmarkStart w:id="207" w:name="_MON_1498300354"/>
    <w:bookmarkStart w:id="208" w:name="_MON_1466572000"/>
    <w:bookmarkEnd w:id="203"/>
    <w:bookmarkEnd w:id="204"/>
    <w:bookmarkEnd w:id="205"/>
    <w:bookmarkEnd w:id="206"/>
    <w:bookmarkEnd w:id="207"/>
    <w:bookmarkEnd w:id="208"/>
    <w:bookmarkStart w:id="209" w:name="_MON_1490595275"/>
    <w:bookmarkEnd w:id="209"/>
    <w:p w:rsidR="002D306C" w:rsidRDefault="002D7A98" w:rsidP="0072178D">
      <w:pPr>
        <w:spacing w:line="276" w:lineRule="auto"/>
        <w:jc w:val="both"/>
        <w:rPr>
          <w:rFonts w:ascii="Candara" w:hAnsi="Candara" w:cs="Arial"/>
          <w:color w:val="000000"/>
          <w:sz w:val="24"/>
          <w:szCs w:val="24"/>
        </w:rPr>
      </w:pPr>
      <w:r w:rsidRPr="009164C7">
        <w:rPr>
          <w:rFonts w:ascii="Candara" w:hAnsi="Candara" w:cs="Arial"/>
          <w:color w:val="000000"/>
          <w:sz w:val="24"/>
          <w:szCs w:val="24"/>
        </w:rPr>
        <w:object w:dxaOrig="10187" w:dyaOrig="1496">
          <v:shape id="_x0000_i1073" type="#_x0000_t75" style="width:508.5pt;height:82.5pt" o:ole="">
            <v:imagedata r:id="rId104" o:title=""/>
          </v:shape>
          <o:OLEObject Type="Embed" ProgID="Excel.Sheet.12" ShapeID="_x0000_i1073" DrawAspect="Content" ObjectID="_1554906149" r:id="rId105"/>
        </w:object>
      </w:r>
    </w:p>
    <w:p w:rsidR="002D306C" w:rsidRDefault="002D306C" w:rsidP="002D306C">
      <w:r>
        <w:br w:type="page"/>
      </w:r>
    </w:p>
    <w:p w:rsidR="002D306C" w:rsidRPr="002D306C" w:rsidRDefault="002D306C" w:rsidP="002D306C">
      <w:pPr>
        <w:pStyle w:val="Ttulo1"/>
        <w:jc w:val="center"/>
        <w:rPr>
          <w:sz w:val="32"/>
          <w:szCs w:val="32"/>
          <w:lang w:val="es-ES"/>
        </w:rPr>
      </w:pPr>
      <w:r w:rsidRPr="002D306C">
        <w:rPr>
          <w:sz w:val="32"/>
          <w:szCs w:val="32"/>
          <w:lang w:val="es-ES"/>
        </w:rPr>
        <w:lastRenderedPageBreak/>
        <w:t>ESTADO DE FLUJOS DE EFECTIVO</w:t>
      </w:r>
    </w:p>
    <w:p w:rsidR="002D306C" w:rsidRDefault="002D306C" w:rsidP="002D306C">
      <w:pPr>
        <w:pStyle w:val="Ttulo2"/>
        <w:jc w:val="both"/>
        <w:rPr>
          <w:color w:val="365F91"/>
        </w:rPr>
      </w:pPr>
    </w:p>
    <w:p w:rsidR="002D306C" w:rsidRPr="00B87C7B" w:rsidRDefault="002D306C" w:rsidP="002D306C">
      <w:pPr>
        <w:pStyle w:val="Ttulo2"/>
        <w:jc w:val="both"/>
        <w:rPr>
          <w:color w:val="365F91"/>
        </w:rPr>
      </w:pPr>
      <w:r w:rsidRPr="00B87C7B">
        <w:rPr>
          <w:color w:val="365F91"/>
        </w:rPr>
        <w:t>Actividades de Operación</w:t>
      </w:r>
    </w:p>
    <w:p w:rsidR="002D306C" w:rsidRPr="00B87C7B" w:rsidRDefault="002D306C" w:rsidP="002D306C">
      <w:pPr>
        <w:pStyle w:val="Ttulo2"/>
        <w:keepLines/>
        <w:numPr>
          <w:ilvl w:val="0"/>
          <w:numId w:val="14"/>
        </w:numPr>
        <w:spacing w:before="200" w:line="360" w:lineRule="auto"/>
        <w:jc w:val="both"/>
        <w:rPr>
          <w:color w:val="365F91"/>
        </w:rPr>
      </w:pPr>
      <w:r w:rsidRPr="00B87C7B">
        <w:rPr>
          <w:color w:val="365F91"/>
        </w:rPr>
        <w:t>Entradas de Efectivo</w:t>
      </w:r>
    </w:p>
    <w:p w:rsidR="002D306C" w:rsidRPr="00AF17C2" w:rsidRDefault="002D306C" w:rsidP="002D306C">
      <w:pPr>
        <w:pStyle w:val="Ttulo3"/>
        <w:jc w:val="both"/>
        <w:rPr>
          <w:color w:val="365F91"/>
        </w:rPr>
      </w:pPr>
      <w:r w:rsidRPr="00AF17C2">
        <w:rPr>
          <w:color w:val="365F91"/>
        </w:rPr>
        <w:t>NOTA No. 1 - Cobro de Ingresos Tributarios</w:t>
      </w:r>
    </w:p>
    <w:p w:rsidR="002D306C" w:rsidRPr="002D306C" w:rsidRDefault="002D306C" w:rsidP="002D306C">
      <w:pPr>
        <w:jc w:val="both"/>
        <w:rPr>
          <w:lang w:val="es-ES"/>
        </w:rPr>
      </w:pPr>
    </w:p>
    <w:bookmarkStart w:id="210" w:name="_MON_1466836898"/>
    <w:bookmarkStart w:id="211" w:name="_MON_1490596480"/>
    <w:bookmarkStart w:id="212" w:name="_MON_1431157369"/>
    <w:bookmarkStart w:id="213" w:name="_MON_1498300959"/>
    <w:bookmarkStart w:id="214" w:name="_MON_1474888186"/>
    <w:bookmarkStart w:id="215" w:name="_MON_1506406095"/>
    <w:bookmarkEnd w:id="210"/>
    <w:bookmarkEnd w:id="211"/>
    <w:bookmarkEnd w:id="212"/>
    <w:bookmarkEnd w:id="213"/>
    <w:bookmarkEnd w:id="214"/>
    <w:bookmarkEnd w:id="215"/>
    <w:bookmarkStart w:id="216" w:name="_MON_1483875964"/>
    <w:bookmarkEnd w:id="216"/>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835">
          <v:shape id="_x0000_i1074" type="#_x0000_t75" style="width:508.5pt;height:91.5pt" o:ole="">
            <v:imagedata r:id="rId106" o:title=""/>
          </v:shape>
          <o:OLEObject Type="Embed" ProgID="Excel.Sheet.12" ShapeID="_x0000_i1074" DrawAspect="Content" ObjectID="_1554906150" r:id="rId107"/>
        </w:object>
      </w:r>
    </w:p>
    <w:p w:rsidR="002D306C" w:rsidRDefault="002D306C" w:rsidP="002D306C">
      <w:pPr>
        <w:jc w:val="both"/>
        <w:rPr>
          <w:rFonts w:ascii="Arial" w:hAnsi="Arial" w:cs="Arial"/>
          <w:lang w:val="es-CR"/>
        </w:rPr>
      </w:pPr>
      <w:r>
        <w:rPr>
          <w:rFonts w:ascii="Arial" w:hAnsi="Arial" w:cs="Arial"/>
          <w:lang w:val="es-CR"/>
        </w:rPr>
        <w:t>Las variaciones mostradas corresponden a una menor venta en timbres de Archivo Nacional.</w:t>
      </w:r>
    </w:p>
    <w:p w:rsidR="002D306C" w:rsidRPr="002D306C" w:rsidRDefault="002D306C" w:rsidP="002D306C">
      <w:pPr>
        <w:jc w:val="both"/>
        <w:rPr>
          <w:rFonts w:ascii="Arial" w:hAnsi="Arial" w:cs="Arial"/>
          <w:sz w:val="24"/>
          <w:szCs w:val="24"/>
          <w:lang w:val="es-ES"/>
        </w:rPr>
      </w:pPr>
    </w:p>
    <w:p w:rsidR="002D306C" w:rsidRPr="00B87C7B" w:rsidRDefault="002D306C" w:rsidP="002D306C">
      <w:pPr>
        <w:pStyle w:val="Ttulo3"/>
        <w:jc w:val="both"/>
        <w:rPr>
          <w:color w:val="365F91"/>
        </w:rPr>
      </w:pPr>
      <w:r w:rsidRPr="00B87C7B">
        <w:rPr>
          <w:color w:val="365F91"/>
        </w:rPr>
        <w:t>NOTA No. 2 - Recibo de contribuciones sociales</w:t>
      </w:r>
    </w:p>
    <w:p w:rsidR="002D306C" w:rsidRDefault="002D306C" w:rsidP="002D306C">
      <w:pPr>
        <w:spacing w:line="276" w:lineRule="auto"/>
        <w:jc w:val="both"/>
        <w:rPr>
          <w:rFonts w:ascii="Arial" w:hAnsi="Arial" w:cs="Arial"/>
          <w:lang w:val="es-CR"/>
        </w:rPr>
      </w:pPr>
    </w:p>
    <w:p w:rsidR="002D306C" w:rsidRPr="00AF17C2" w:rsidRDefault="002D306C" w:rsidP="002D306C">
      <w:pPr>
        <w:spacing w:line="276" w:lineRule="auto"/>
        <w:jc w:val="both"/>
        <w:rPr>
          <w:rFonts w:ascii="Arial" w:hAnsi="Arial" w:cs="Arial"/>
          <w:lang w:val="es-CR"/>
        </w:rPr>
      </w:pPr>
      <w:r w:rsidRPr="00AF17C2">
        <w:rPr>
          <w:rFonts w:ascii="Arial" w:hAnsi="Arial" w:cs="Arial"/>
          <w:lang w:val="es-CR"/>
        </w:rPr>
        <w:t>No aplica en este momento</w:t>
      </w:r>
    </w:p>
    <w:p w:rsidR="002D306C" w:rsidRPr="00D571E7" w:rsidRDefault="002D306C" w:rsidP="002D306C">
      <w:pPr>
        <w:spacing w:line="276" w:lineRule="auto"/>
        <w:jc w:val="both"/>
        <w:rPr>
          <w:rFonts w:ascii="Arial" w:hAnsi="Arial" w:cs="Arial"/>
          <w:sz w:val="24"/>
          <w:szCs w:val="24"/>
        </w:rPr>
      </w:pPr>
    </w:p>
    <w:bookmarkStart w:id="217" w:name="_MON_1490596501"/>
    <w:bookmarkEnd w:id="217"/>
    <w:bookmarkStart w:id="218" w:name="_MON_1506406113"/>
    <w:bookmarkEnd w:id="218"/>
    <w:p w:rsidR="002D306C" w:rsidRDefault="002D306C" w:rsidP="002D306C">
      <w:pPr>
        <w:jc w:val="both"/>
        <w:rPr>
          <w:rFonts w:ascii="Candara" w:hAnsi="Candara" w:cs="Arial"/>
        </w:rPr>
      </w:pPr>
      <w:r w:rsidRPr="009164C7">
        <w:rPr>
          <w:rFonts w:ascii="Candara" w:hAnsi="Candara" w:cs="Arial"/>
          <w:color w:val="000000"/>
          <w:sz w:val="24"/>
          <w:szCs w:val="24"/>
        </w:rPr>
        <w:object w:dxaOrig="10187" w:dyaOrig="1835">
          <v:shape id="_x0000_i1075" type="#_x0000_t75" style="width:508.5pt;height:91.5pt" o:ole="">
            <v:imagedata r:id="rId108" o:title=""/>
          </v:shape>
          <o:OLEObject Type="Embed" ProgID="Excel.Sheet.12" ShapeID="_x0000_i1075" DrawAspect="Content" ObjectID="_1554906151" r:id="rId109"/>
        </w:object>
      </w:r>
    </w:p>
    <w:p w:rsidR="002D306C" w:rsidRDefault="002D306C" w:rsidP="002D306C">
      <w:pPr>
        <w:pStyle w:val="Ttulo3"/>
        <w:jc w:val="both"/>
        <w:rPr>
          <w:color w:val="365F91"/>
        </w:rPr>
      </w:pPr>
      <w:bookmarkStart w:id="219" w:name="_MON_1431157990"/>
      <w:bookmarkEnd w:id="219"/>
      <w:r w:rsidRPr="00B87C7B">
        <w:rPr>
          <w:color w:val="365F91"/>
        </w:rPr>
        <w:t>NOTA No. 3 - Ventas de bienes y servicios</w:t>
      </w:r>
    </w:p>
    <w:bookmarkStart w:id="220" w:name="_MON_1529824050"/>
    <w:bookmarkEnd w:id="220"/>
    <w:p w:rsidR="002D306C" w:rsidRPr="00BE506C" w:rsidRDefault="002D306C" w:rsidP="002D306C">
      <w:pPr>
        <w:rPr>
          <w:lang w:val="es-ES"/>
        </w:rPr>
      </w:pPr>
      <w:r w:rsidRPr="009164C7">
        <w:rPr>
          <w:rFonts w:ascii="Candara" w:hAnsi="Candara" w:cs="Arial"/>
          <w:color w:val="000000"/>
          <w:sz w:val="24"/>
          <w:szCs w:val="24"/>
        </w:rPr>
        <w:object w:dxaOrig="10187" w:dyaOrig="1835">
          <v:shape id="_x0000_i1076" type="#_x0000_t75" style="width:508.5pt;height:91.5pt" o:ole="">
            <v:imagedata r:id="rId110" o:title=""/>
          </v:shape>
          <o:OLEObject Type="Embed" ProgID="Excel.Sheet.12" ShapeID="_x0000_i1076" DrawAspect="Content" ObjectID="_1554906152" r:id="rId111"/>
        </w:object>
      </w:r>
    </w:p>
    <w:p w:rsidR="002D306C" w:rsidRDefault="002D306C" w:rsidP="002D306C">
      <w:pPr>
        <w:jc w:val="both"/>
        <w:rPr>
          <w:rFonts w:ascii="Arial" w:hAnsi="Arial" w:cs="Arial"/>
          <w:lang w:val="es-CR"/>
        </w:rPr>
      </w:pPr>
      <w:bookmarkStart w:id="221" w:name="_MON_1474888539"/>
      <w:bookmarkStart w:id="222" w:name="_MON_1498300974"/>
      <w:bookmarkStart w:id="223" w:name="_MON_1483876085"/>
      <w:bookmarkStart w:id="224" w:name="_MON_1506406119"/>
      <w:bookmarkStart w:id="225" w:name="_MON_1431158101"/>
      <w:bookmarkStart w:id="226" w:name="_MON_1490596513"/>
      <w:bookmarkEnd w:id="221"/>
      <w:bookmarkEnd w:id="222"/>
      <w:bookmarkEnd w:id="223"/>
      <w:bookmarkEnd w:id="224"/>
      <w:bookmarkEnd w:id="225"/>
      <w:bookmarkEnd w:id="226"/>
      <w:r>
        <w:rPr>
          <w:rFonts w:ascii="Arial" w:hAnsi="Arial" w:cs="Arial"/>
          <w:lang w:val="es-CR"/>
        </w:rPr>
        <w:t>La variación corresponde por aumento de precios en los bienes y servicios que ofrece el Archivo Nacional, así como una mayor venta de los mismos.</w:t>
      </w:r>
    </w:p>
    <w:p w:rsidR="002D306C" w:rsidRDefault="002D306C" w:rsidP="002D306C">
      <w:pPr>
        <w:rPr>
          <w:b/>
          <w:bCs/>
          <w:color w:val="365F91"/>
          <w:sz w:val="24"/>
          <w:lang w:val="es-ES"/>
        </w:rPr>
      </w:pPr>
    </w:p>
    <w:p w:rsidR="002D306C" w:rsidRDefault="002D306C" w:rsidP="002D306C">
      <w:pPr>
        <w:rPr>
          <w:b/>
          <w:bCs/>
          <w:color w:val="365F91"/>
          <w:sz w:val="24"/>
          <w:lang w:val="es-ES"/>
        </w:rPr>
      </w:pPr>
      <w:r>
        <w:rPr>
          <w:b/>
          <w:bCs/>
          <w:color w:val="365F91"/>
          <w:sz w:val="24"/>
          <w:lang w:val="es-ES"/>
        </w:rPr>
        <w:br w:type="page"/>
      </w:r>
    </w:p>
    <w:p w:rsidR="002D306C" w:rsidRPr="002D306C" w:rsidRDefault="002D306C" w:rsidP="002D306C">
      <w:pPr>
        <w:jc w:val="both"/>
        <w:rPr>
          <w:color w:val="365F91"/>
          <w:lang w:val="es-ES"/>
        </w:rPr>
      </w:pPr>
      <w:r w:rsidRPr="00A022EB">
        <w:rPr>
          <w:b/>
          <w:bCs/>
          <w:color w:val="365F91"/>
          <w:sz w:val="24"/>
          <w:lang w:val="es-ES"/>
        </w:rPr>
        <w:lastRenderedPageBreak/>
        <w:t>NOTA No. 4 - Cobro de derechos y traspasos</w:t>
      </w:r>
    </w:p>
    <w:p w:rsidR="002D306C" w:rsidRDefault="002D306C" w:rsidP="002D306C">
      <w:pPr>
        <w:spacing w:line="276" w:lineRule="auto"/>
        <w:jc w:val="both"/>
        <w:rPr>
          <w:rFonts w:ascii="Arial" w:hAnsi="Arial" w:cs="Arial"/>
          <w:lang w:val="es-CR"/>
        </w:rPr>
      </w:pPr>
    </w:p>
    <w:p w:rsidR="002D306C" w:rsidRPr="00AF17C2" w:rsidRDefault="002D306C" w:rsidP="002D306C">
      <w:pPr>
        <w:spacing w:line="276" w:lineRule="auto"/>
        <w:jc w:val="both"/>
        <w:rPr>
          <w:rFonts w:ascii="Arial" w:hAnsi="Arial" w:cs="Arial"/>
          <w:lang w:val="es-CR"/>
        </w:rPr>
      </w:pPr>
      <w:r w:rsidRPr="00AF17C2">
        <w:rPr>
          <w:rFonts w:ascii="Arial" w:hAnsi="Arial" w:cs="Arial"/>
          <w:lang w:val="es-CR"/>
        </w:rPr>
        <w:t>No aplica en este momento</w:t>
      </w:r>
    </w:p>
    <w:p w:rsidR="002D306C" w:rsidRDefault="002D306C" w:rsidP="002D306C">
      <w:pPr>
        <w:jc w:val="both"/>
        <w:rPr>
          <w:rFonts w:ascii="Candara" w:hAnsi="Candara" w:cs="Arial"/>
        </w:rPr>
      </w:pPr>
    </w:p>
    <w:bookmarkStart w:id="227" w:name="_MON_1431158199"/>
    <w:bookmarkEnd w:id="227"/>
    <w:bookmarkStart w:id="228" w:name="_MON_1490596537"/>
    <w:bookmarkEnd w:id="228"/>
    <w:p w:rsidR="002D306C" w:rsidRPr="007F59F6" w:rsidRDefault="002D306C" w:rsidP="002D306C">
      <w:pPr>
        <w:jc w:val="both"/>
        <w:rPr>
          <w:rFonts w:ascii="Candara" w:hAnsi="Candara" w:cs="Arial"/>
        </w:rPr>
      </w:pPr>
      <w:r w:rsidRPr="009164C7">
        <w:rPr>
          <w:rFonts w:ascii="Candara" w:hAnsi="Candara" w:cs="Arial"/>
          <w:color w:val="000000"/>
          <w:sz w:val="24"/>
          <w:szCs w:val="24"/>
        </w:rPr>
        <w:object w:dxaOrig="10187" w:dyaOrig="1835">
          <v:shape id="_x0000_i1077" type="#_x0000_t75" style="width:508.5pt;height:91.5pt" o:ole="">
            <v:imagedata r:id="rId112" o:title=""/>
          </v:shape>
          <o:OLEObject Type="Embed" ProgID="Excel.Sheet.12" ShapeID="_x0000_i1077" DrawAspect="Content" ObjectID="_1554906153" r:id="rId113"/>
        </w:object>
      </w:r>
    </w:p>
    <w:p w:rsidR="002D306C" w:rsidRPr="00B87C7B" w:rsidRDefault="002D306C" w:rsidP="002D306C">
      <w:pPr>
        <w:pStyle w:val="Ttulo3"/>
        <w:jc w:val="both"/>
        <w:rPr>
          <w:color w:val="365F91"/>
        </w:rPr>
      </w:pPr>
      <w:r w:rsidRPr="00B87C7B">
        <w:rPr>
          <w:color w:val="365F91"/>
        </w:rPr>
        <w:t>NOTA No. 5 - Intereses, multas y sanciones cobradas</w:t>
      </w:r>
    </w:p>
    <w:p w:rsidR="002D306C" w:rsidRPr="002D306C" w:rsidRDefault="002D306C" w:rsidP="002D306C">
      <w:pPr>
        <w:spacing w:line="276" w:lineRule="auto"/>
        <w:jc w:val="both"/>
        <w:rPr>
          <w:rFonts w:ascii="Arial" w:hAnsi="Arial" w:cs="Arial"/>
          <w:sz w:val="24"/>
          <w:szCs w:val="24"/>
          <w:lang w:val="es-ES"/>
        </w:rPr>
      </w:pPr>
    </w:p>
    <w:bookmarkStart w:id="229" w:name="_MON_1431158322"/>
    <w:bookmarkEnd w:id="229"/>
    <w:bookmarkStart w:id="230" w:name="_MON_1490596545"/>
    <w:bookmarkEnd w:id="230"/>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835">
          <v:shape id="_x0000_i1078" type="#_x0000_t75" style="width:508.5pt;height:91.5pt" o:ole="">
            <v:imagedata r:id="rId114" o:title=""/>
          </v:shape>
          <o:OLEObject Type="Embed" ProgID="Excel.Sheet.12" ShapeID="_x0000_i1078" DrawAspect="Content" ObjectID="_1554906154" r:id="rId115"/>
        </w:object>
      </w:r>
    </w:p>
    <w:p w:rsidR="002D306C" w:rsidRDefault="002D306C" w:rsidP="002D306C">
      <w:pPr>
        <w:jc w:val="both"/>
        <w:rPr>
          <w:rFonts w:ascii="Arial" w:hAnsi="Arial" w:cs="Arial"/>
          <w:lang w:val="es-CR"/>
        </w:rPr>
      </w:pPr>
      <w:r>
        <w:rPr>
          <w:rFonts w:ascii="Arial" w:hAnsi="Arial" w:cs="Arial"/>
          <w:lang w:val="es-CR"/>
        </w:rPr>
        <w:t>Las variaciones mostradas corresponden a multas cobradas a proveedores durante el año.</w:t>
      </w:r>
    </w:p>
    <w:p w:rsidR="002D306C" w:rsidRPr="002D306C" w:rsidRDefault="002D306C" w:rsidP="002D306C">
      <w:pPr>
        <w:jc w:val="both"/>
        <w:rPr>
          <w:rFonts w:ascii="Arial" w:hAnsi="Arial" w:cs="Arial"/>
          <w:lang w:val="es-ES"/>
        </w:rPr>
      </w:pPr>
      <w:r w:rsidRPr="002D306C">
        <w:rPr>
          <w:rFonts w:ascii="Candara" w:hAnsi="Candara" w:cs="Arial"/>
          <w:b/>
          <w:color w:val="000000"/>
          <w:sz w:val="24"/>
          <w:szCs w:val="24"/>
          <w:u w:val="single"/>
          <w:lang w:val="es-ES"/>
        </w:rPr>
        <w:t xml:space="preserve"> </w:t>
      </w:r>
    </w:p>
    <w:p w:rsidR="002D306C" w:rsidRPr="00B87C7B" w:rsidRDefault="002D306C" w:rsidP="002D306C">
      <w:pPr>
        <w:pStyle w:val="Ttulo3"/>
        <w:jc w:val="both"/>
        <w:rPr>
          <w:color w:val="365F91"/>
        </w:rPr>
      </w:pPr>
      <w:r w:rsidRPr="00B87C7B">
        <w:rPr>
          <w:color w:val="365F91"/>
        </w:rPr>
        <w:t>NOTA No. 6 - Transferencias corrientes recibidas</w:t>
      </w:r>
    </w:p>
    <w:p w:rsidR="002D306C" w:rsidRPr="002D306C" w:rsidRDefault="002D306C" w:rsidP="002D306C">
      <w:pPr>
        <w:jc w:val="both"/>
        <w:rPr>
          <w:rFonts w:ascii="Candara" w:hAnsi="Candara" w:cs="Arial"/>
          <w:color w:val="000000"/>
          <w:sz w:val="24"/>
          <w:szCs w:val="24"/>
          <w:lang w:val="es-ES"/>
        </w:rPr>
      </w:pPr>
    </w:p>
    <w:bookmarkStart w:id="231" w:name="_MON_1466836681"/>
    <w:bookmarkStart w:id="232" w:name="_MON_1490596556"/>
    <w:bookmarkStart w:id="233" w:name="_MON_1431158381"/>
    <w:bookmarkStart w:id="234" w:name="_MON_1498300988"/>
    <w:bookmarkStart w:id="235" w:name="_MON_1474888599"/>
    <w:bookmarkStart w:id="236" w:name="_MON_1506406139"/>
    <w:bookmarkEnd w:id="231"/>
    <w:bookmarkEnd w:id="232"/>
    <w:bookmarkEnd w:id="233"/>
    <w:bookmarkEnd w:id="234"/>
    <w:bookmarkEnd w:id="235"/>
    <w:bookmarkEnd w:id="236"/>
    <w:bookmarkStart w:id="237" w:name="_MON_1483876125"/>
    <w:bookmarkEnd w:id="237"/>
    <w:p w:rsidR="002D306C" w:rsidRPr="002D306C" w:rsidRDefault="002D306C" w:rsidP="002D306C">
      <w:pPr>
        <w:jc w:val="both"/>
        <w:rPr>
          <w:rFonts w:ascii="Arial" w:hAnsi="Arial" w:cs="Arial"/>
          <w:lang w:val="es-ES"/>
        </w:rPr>
      </w:pPr>
      <w:r w:rsidRPr="009164C7">
        <w:rPr>
          <w:rFonts w:ascii="Candara" w:hAnsi="Candara" w:cs="Arial"/>
          <w:color w:val="000000"/>
          <w:sz w:val="24"/>
          <w:szCs w:val="24"/>
        </w:rPr>
        <w:object w:dxaOrig="10187" w:dyaOrig="1835">
          <v:shape id="_x0000_i1079" type="#_x0000_t75" style="width:508.5pt;height:91.5pt" o:ole="">
            <v:imagedata r:id="rId116" o:title=""/>
          </v:shape>
          <o:OLEObject Type="Embed" ProgID="Excel.Sheet.12" ShapeID="_x0000_i1079" DrawAspect="Content" ObjectID="_1554906155" r:id="rId117"/>
        </w:object>
      </w:r>
      <w:r w:rsidRPr="002D306C">
        <w:rPr>
          <w:rFonts w:ascii="Candara" w:hAnsi="Candara" w:cs="Arial"/>
          <w:b/>
          <w:color w:val="000000"/>
          <w:sz w:val="24"/>
          <w:szCs w:val="24"/>
          <w:u w:val="single"/>
          <w:lang w:val="es-ES"/>
        </w:rPr>
        <w:t xml:space="preserve"> </w:t>
      </w:r>
    </w:p>
    <w:p w:rsidR="002D306C" w:rsidRDefault="002D306C" w:rsidP="002D306C">
      <w:pPr>
        <w:jc w:val="both"/>
        <w:rPr>
          <w:rFonts w:ascii="Arial" w:hAnsi="Arial" w:cs="Arial"/>
          <w:lang w:val="es-CR"/>
        </w:rPr>
      </w:pPr>
      <w:r>
        <w:rPr>
          <w:rFonts w:ascii="Arial" w:hAnsi="Arial" w:cs="Arial"/>
          <w:lang w:val="es-CR"/>
        </w:rPr>
        <w:t>Las variaciones mostradas corresponden a una disminución en las transferencias de gobierno.</w:t>
      </w:r>
    </w:p>
    <w:p w:rsidR="002D306C" w:rsidRDefault="002D306C" w:rsidP="002D306C">
      <w:pPr>
        <w:jc w:val="both"/>
        <w:rPr>
          <w:rFonts w:ascii="Arial" w:hAnsi="Arial" w:cs="Arial"/>
          <w:lang w:val="es-CR"/>
        </w:rPr>
      </w:pPr>
    </w:p>
    <w:p w:rsidR="002D306C" w:rsidRPr="00B87C7B" w:rsidRDefault="002D306C" w:rsidP="002D306C">
      <w:pPr>
        <w:pStyle w:val="Ttulo3"/>
        <w:jc w:val="both"/>
        <w:rPr>
          <w:color w:val="365F91"/>
        </w:rPr>
      </w:pPr>
      <w:r w:rsidRPr="00B87C7B">
        <w:rPr>
          <w:color w:val="365F91"/>
        </w:rPr>
        <w:t>NOTA No. 7 - Otros Cobros</w:t>
      </w:r>
    </w:p>
    <w:p w:rsidR="002D306C" w:rsidRPr="002D306C" w:rsidRDefault="002D306C" w:rsidP="002D306C">
      <w:pPr>
        <w:jc w:val="both"/>
        <w:rPr>
          <w:rFonts w:ascii="Candara" w:hAnsi="Candara" w:cs="Arial"/>
          <w:lang w:val="es-ES"/>
        </w:rPr>
      </w:pPr>
    </w:p>
    <w:bookmarkStart w:id="238" w:name="_MON_1466836864"/>
    <w:bookmarkStart w:id="239" w:name="_MON_1490596579"/>
    <w:bookmarkStart w:id="240" w:name="_MON_1431158413"/>
    <w:bookmarkStart w:id="241" w:name="_MON_1498300999"/>
    <w:bookmarkStart w:id="242" w:name="_MON_1474888612"/>
    <w:bookmarkStart w:id="243" w:name="_MON_1506406150"/>
    <w:bookmarkEnd w:id="238"/>
    <w:bookmarkEnd w:id="239"/>
    <w:bookmarkEnd w:id="240"/>
    <w:bookmarkEnd w:id="241"/>
    <w:bookmarkEnd w:id="242"/>
    <w:bookmarkEnd w:id="243"/>
    <w:bookmarkStart w:id="244" w:name="_MON_1483876184"/>
    <w:bookmarkEnd w:id="244"/>
    <w:p w:rsidR="002D306C" w:rsidRPr="002D306C" w:rsidRDefault="002D306C" w:rsidP="002D306C">
      <w:pPr>
        <w:jc w:val="both"/>
        <w:rPr>
          <w:rFonts w:ascii="Arial" w:hAnsi="Arial" w:cs="Arial"/>
          <w:b/>
          <w:color w:val="000000"/>
          <w:u w:val="single"/>
          <w:lang w:val="es-ES"/>
        </w:rPr>
      </w:pPr>
      <w:r w:rsidRPr="009164C7">
        <w:rPr>
          <w:rFonts w:ascii="Candara" w:hAnsi="Candara" w:cs="Arial"/>
          <w:color w:val="000000"/>
          <w:sz w:val="24"/>
          <w:szCs w:val="24"/>
        </w:rPr>
        <w:object w:dxaOrig="10187" w:dyaOrig="1835">
          <v:shape id="_x0000_i1080" type="#_x0000_t75" style="width:508.5pt;height:91.5pt" o:ole="">
            <v:imagedata r:id="rId118" o:title=""/>
          </v:shape>
          <o:OLEObject Type="Embed" ProgID="Excel.Sheet.12" ShapeID="_x0000_i1080" DrawAspect="Content" ObjectID="_1554906156" r:id="rId119"/>
        </w:object>
      </w:r>
      <w:r w:rsidRPr="002D306C">
        <w:rPr>
          <w:rFonts w:ascii="Arial" w:hAnsi="Arial" w:cs="Arial"/>
          <w:b/>
          <w:color w:val="000000"/>
          <w:u w:val="single"/>
          <w:lang w:val="es-ES"/>
        </w:rPr>
        <w:t xml:space="preserve"> </w:t>
      </w:r>
    </w:p>
    <w:p w:rsidR="002D306C" w:rsidRDefault="002D306C" w:rsidP="002D306C">
      <w:pPr>
        <w:jc w:val="both"/>
        <w:rPr>
          <w:rFonts w:ascii="Arial" w:hAnsi="Arial" w:cs="Arial"/>
          <w:lang w:val="es-CR"/>
        </w:rPr>
      </w:pPr>
      <w:r>
        <w:rPr>
          <w:rFonts w:ascii="Arial" w:hAnsi="Arial" w:cs="Arial"/>
          <w:lang w:val="es-CR"/>
        </w:rPr>
        <w:t>Las variaciones mostradas corresponden a disminución en otros cobros con respecto al año 2015.</w:t>
      </w:r>
    </w:p>
    <w:p w:rsidR="002D306C" w:rsidRPr="00BE506C" w:rsidRDefault="002D306C" w:rsidP="002D306C">
      <w:pPr>
        <w:rPr>
          <w:lang w:val="es-ES"/>
        </w:rPr>
      </w:pPr>
    </w:p>
    <w:p w:rsidR="002D306C" w:rsidRDefault="002D306C" w:rsidP="002D306C">
      <w:pPr>
        <w:rPr>
          <w:b/>
          <w:bCs/>
          <w:color w:val="365F91"/>
          <w:sz w:val="24"/>
          <w:lang w:val="es-ES"/>
        </w:rPr>
      </w:pPr>
      <w:r w:rsidRPr="002D306C">
        <w:rPr>
          <w:color w:val="365F91"/>
          <w:lang w:val="es-ES"/>
        </w:rPr>
        <w:br w:type="page"/>
      </w:r>
    </w:p>
    <w:p w:rsidR="002D306C" w:rsidRPr="00B87C7B" w:rsidRDefault="002D306C" w:rsidP="002D306C">
      <w:pPr>
        <w:pStyle w:val="Ttulo3"/>
        <w:jc w:val="both"/>
        <w:rPr>
          <w:color w:val="365F91"/>
        </w:rPr>
      </w:pPr>
      <w:r w:rsidRPr="00B87C7B">
        <w:rPr>
          <w:color w:val="365F91"/>
        </w:rPr>
        <w:lastRenderedPageBreak/>
        <w:t>NOTA No. 8 - Diferencias del tipo de cambio</w:t>
      </w:r>
    </w:p>
    <w:p w:rsidR="002D306C" w:rsidRPr="002D306C" w:rsidRDefault="002D306C" w:rsidP="002D306C">
      <w:pPr>
        <w:jc w:val="both"/>
        <w:rPr>
          <w:rFonts w:ascii="Candara" w:hAnsi="Candara" w:cs="Arial"/>
          <w:lang w:val="es-ES"/>
        </w:rPr>
      </w:pPr>
    </w:p>
    <w:p w:rsidR="002D306C" w:rsidRDefault="002D306C" w:rsidP="002D306C">
      <w:pPr>
        <w:jc w:val="both"/>
        <w:rPr>
          <w:rFonts w:ascii="Candara" w:hAnsi="Candara" w:cs="Arial"/>
          <w:color w:val="000000"/>
          <w:sz w:val="24"/>
          <w:szCs w:val="24"/>
        </w:rPr>
      </w:pPr>
      <w:bookmarkStart w:id="245" w:name="_MON_1506406161"/>
      <w:bookmarkStart w:id="246" w:name="_MON_1483876323"/>
      <w:bookmarkStart w:id="247" w:name="_MON_1466837089"/>
      <w:bookmarkStart w:id="248" w:name="_MON_1490596605"/>
      <w:bookmarkStart w:id="249" w:name="_MON_1431158472"/>
      <w:bookmarkStart w:id="250" w:name="_MON_1498301013"/>
      <w:bookmarkStart w:id="251" w:name="_MON_1474888638"/>
      <w:bookmarkEnd w:id="245"/>
      <w:bookmarkEnd w:id="246"/>
      <w:bookmarkEnd w:id="247"/>
      <w:bookmarkEnd w:id="248"/>
      <w:bookmarkEnd w:id="249"/>
      <w:bookmarkEnd w:id="250"/>
      <w:bookmarkEnd w:id="251"/>
      <w:r>
        <w:rPr>
          <w:rFonts w:ascii="Candara" w:hAnsi="Candara" w:cs="Arial"/>
          <w:noProof/>
          <w:color w:val="000000"/>
          <w:sz w:val="24"/>
          <w:szCs w:val="24"/>
          <w:lang w:val="es-ES"/>
        </w:rPr>
        <w:drawing>
          <wp:inline distT="0" distB="0" distL="0" distR="0">
            <wp:extent cx="6457950" cy="952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57950" cy="952500"/>
                    </a:xfrm>
                    <a:prstGeom prst="rect">
                      <a:avLst/>
                    </a:prstGeom>
                    <a:noFill/>
                    <a:ln>
                      <a:noFill/>
                    </a:ln>
                  </pic:spPr>
                </pic:pic>
              </a:graphicData>
            </a:graphic>
          </wp:inline>
        </w:drawing>
      </w:r>
    </w:p>
    <w:p w:rsidR="002D306C" w:rsidRDefault="002D306C" w:rsidP="002D306C">
      <w:pPr>
        <w:jc w:val="both"/>
        <w:rPr>
          <w:rFonts w:ascii="Arial" w:hAnsi="Arial" w:cs="Arial"/>
          <w:lang w:val="es-CR"/>
        </w:rPr>
      </w:pPr>
      <w:r>
        <w:rPr>
          <w:rFonts w:ascii="Arial" w:hAnsi="Arial" w:cs="Arial"/>
          <w:lang w:val="es-CR"/>
        </w:rPr>
        <w:t>El aumento corresponde por la aplicación del tipo de cambio en facturas en dólares.</w:t>
      </w:r>
    </w:p>
    <w:p w:rsidR="002D306C" w:rsidRPr="00B87C7B" w:rsidRDefault="002D306C" w:rsidP="002D306C">
      <w:pPr>
        <w:pStyle w:val="Ttulo2"/>
        <w:keepLines/>
        <w:numPr>
          <w:ilvl w:val="0"/>
          <w:numId w:val="14"/>
        </w:numPr>
        <w:spacing w:before="200" w:line="360" w:lineRule="auto"/>
        <w:jc w:val="both"/>
        <w:rPr>
          <w:color w:val="365F91"/>
        </w:rPr>
      </w:pPr>
      <w:r w:rsidRPr="00B87C7B">
        <w:rPr>
          <w:color w:val="365F91"/>
        </w:rPr>
        <w:t>Salidas de Efectivo</w:t>
      </w:r>
    </w:p>
    <w:p w:rsidR="002D306C" w:rsidRDefault="002D306C" w:rsidP="002D306C">
      <w:pPr>
        <w:pStyle w:val="Ttulo3"/>
        <w:jc w:val="both"/>
        <w:rPr>
          <w:color w:val="365F91"/>
        </w:rPr>
      </w:pPr>
    </w:p>
    <w:p w:rsidR="002D306C" w:rsidRPr="00B87C7B" w:rsidRDefault="002D306C" w:rsidP="002D306C">
      <w:pPr>
        <w:pStyle w:val="Ttulo3"/>
        <w:jc w:val="both"/>
        <w:rPr>
          <w:color w:val="365F91"/>
        </w:rPr>
      </w:pPr>
      <w:r w:rsidRPr="00B87C7B">
        <w:rPr>
          <w:color w:val="365F91"/>
        </w:rPr>
        <w:t>NOTA No. 9 - Pago de remuneraciones</w:t>
      </w:r>
    </w:p>
    <w:p w:rsidR="002D306C" w:rsidRDefault="002D306C" w:rsidP="002D306C">
      <w:pPr>
        <w:jc w:val="both"/>
        <w:rPr>
          <w:rFonts w:ascii="Candara" w:hAnsi="Candara" w:cs="Arial"/>
        </w:rPr>
      </w:pPr>
    </w:p>
    <w:bookmarkStart w:id="252" w:name="_MON_1474888668"/>
    <w:bookmarkStart w:id="253" w:name="_MON_1483876377"/>
    <w:bookmarkStart w:id="254" w:name="_MON_1466573747"/>
    <w:bookmarkStart w:id="255" w:name="_MON_1490596634"/>
    <w:bookmarkStart w:id="256" w:name="_MON_1458472754"/>
    <w:bookmarkStart w:id="257" w:name="_MON_1498301026"/>
    <w:bookmarkStart w:id="258" w:name="_MON_1431158872"/>
    <w:bookmarkEnd w:id="252"/>
    <w:bookmarkEnd w:id="253"/>
    <w:bookmarkEnd w:id="254"/>
    <w:bookmarkEnd w:id="255"/>
    <w:bookmarkEnd w:id="256"/>
    <w:bookmarkEnd w:id="257"/>
    <w:bookmarkEnd w:id="258"/>
    <w:bookmarkStart w:id="259" w:name="_MON_1506406171"/>
    <w:bookmarkEnd w:id="259"/>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81" type="#_x0000_t75" style="width:508.5pt;height:87.75pt" o:ole="">
            <v:imagedata r:id="rId121" o:title=""/>
          </v:shape>
          <o:OLEObject Type="Embed" ProgID="Excel.Sheet.12" ShapeID="_x0000_i1081" DrawAspect="Content" ObjectID="_1554906157" r:id="rId122"/>
        </w:object>
      </w:r>
      <w:r>
        <w:rPr>
          <w:rFonts w:ascii="Arial" w:hAnsi="Arial" w:cs="Arial"/>
          <w:lang w:val="es-CR"/>
        </w:rPr>
        <w:t>Las variaciones mostradas corresponden a la aplicación de reasignaciones, puntos de carrera profesional entre otros.</w:t>
      </w:r>
    </w:p>
    <w:p w:rsidR="002D306C" w:rsidRDefault="002D306C" w:rsidP="002D306C">
      <w:pPr>
        <w:jc w:val="both"/>
        <w:rPr>
          <w:rFonts w:ascii="Arial" w:hAnsi="Arial" w:cs="Arial"/>
          <w:lang w:val="es-CR"/>
        </w:rPr>
      </w:pPr>
    </w:p>
    <w:p w:rsidR="002D306C" w:rsidRPr="00B87C7B" w:rsidRDefault="002D306C" w:rsidP="002D306C">
      <w:pPr>
        <w:pStyle w:val="Ttulo3"/>
        <w:jc w:val="both"/>
        <w:rPr>
          <w:color w:val="365F91"/>
        </w:rPr>
      </w:pPr>
      <w:r w:rsidRPr="00B87C7B">
        <w:rPr>
          <w:color w:val="365F91"/>
        </w:rPr>
        <w:t xml:space="preserve">NOTA No. 10 Pago a proveedores y acreedores </w:t>
      </w:r>
    </w:p>
    <w:p w:rsidR="002D306C" w:rsidRPr="002D306C" w:rsidRDefault="002D306C" w:rsidP="002D306C">
      <w:pPr>
        <w:jc w:val="both"/>
        <w:rPr>
          <w:rFonts w:ascii="Candara" w:hAnsi="Candara" w:cs="Arial"/>
          <w:lang w:val="es-ES"/>
        </w:rPr>
      </w:pPr>
    </w:p>
    <w:bookmarkStart w:id="260" w:name="_MON_1506406181"/>
    <w:bookmarkStart w:id="261" w:name="_MON_1431158923"/>
    <w:bookmarkStart w:id="262" w:name="_MON_1474888693"/>
    <w:bookmarkStart w:id="263" w:name="_MON_1483876413"/>
    <w:bookmarkStart w:id="264" w:name="_MON_1466837420"/>
    <w:bookmarkStart w:id="265" w:name="_MON_1490596663"/>
    <w:bookmarkStart w:id="266" w:name="_MON_1466573759"/>
    <w:bookmarkStart w:id="267" w:name="_MON_1498301039"/>
    <w:bookmarkEnd w:id="260"/>
    <w:bookmarkEnd w:id="261"/>
    <w:bookmarkEnd w:id="262"/>
    <w:bookmarkEnd w:id="263"/>
    <w:bookmarkEnd w:id="264"/>
    <w:bookmarkEnd w:id="265"/>
    <w:bookmarkEnd w:id="266"/>
    <w:bookmarkEnd w:id="267"/>
    <w:bookmarkStart w:id="268" w:name="_MON_1458472789"/>
    <w:bookmarkEnd w:id="268"/>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82" type="#_x0000_t75" style="width:508.5pt;height:87.75pt" o:ole="">
            <v:imagedata r:id="rId123" o:title=""/>
          </v:shape>
          <o:OLEObject Type="Embed" ProgID="Excel.Sheet.12" ShapeID="_x0000_i1082" DrawAspect="Content" ObjectID="_1554906158" r:id="rId124"/>
        </w:object>
      </w:r>
      <w:r>
        <w:rPr>
          <w:rFonts w:ascii="Arial" w:hAnsi="Arial" w:cs="Arial"/>
          <w:lang w:val="es-CR"/>
        </w:rPr>
        <w:t>El aumento corresponde a un mayo de pago a proveedores con respecto al año 2015.</w:t>
      </w:r>
    </w:p>
    <w:p w:rsidR="002D306C" w:rsidRPr="00BB12D7" w:rsidRDefault="002D306C" w:rsidP="002D306C">
      <w:pPr>
        <w:jc w:val="both"/>
        <w:rPr>
          <w:rFonts w:ascii="Candara" w:hAnsi="Candara" w:cs="Arial"/>
          <w:color w:val="000000"/>
          <w:sz w:val="24"/>
          <w:szCs w:val="24"/>
          <w:lang w:val="es-ES"/>
        </w:rPr>
      </w:pPr>
    </w:p>
    <w:p w:rsidR="002D306C" w:rsidRPr="00B87C7B" w:rsidRDefault="002D306C" w:rsidP="002D306C">
      <w:pPr>
        <w:pStyle w:val="Ttulo3"/>
        <w:jc w:val="both"/>
        <w:rPr>
          <w:color w:val="365F91"/>
        </w:rPr>
      </w:pPr>
      <w:r w:rsidRPr="00B87C7B">
        <w:rPr>
          <w:color w:val="365F91"/>
        </w:rPr>
        <w:t>NOTA No. 11 - Transferencias corrientes entregadas</w:t>
      </w:r>
    </w:p>
    <w:p w:rsidR="002D306C" w:rsidRPr="00BB12D7" w:rsidRDefault="002D306C" w:rsidP="002D306C">
      <w:pPr>
        <w:jc w:val="both"/>
        <w:rPr>
          <w:rFonts w:ascii="Candara" w:hAnsi="Candara" w:cs="Arial"/>
          <w:lang w:val="es-ES"/>
        </w:rPr>
      </w:pPr>
    </w:p>
    <w:bookmarkStart w:id="269" w:name="_MON_1474888708"/>
    <w:bookmarkStart w:id="270" w:name="_MON_1483876456"/>
    <w:bookmarkStart w:id="271" w:name="_MON_1466573774"/>
    <w:bookmarkStart w:id="272" w:name="_MON_1490596685"/>
    <w:bookmarkStart w:id="273" w:name="_MON_1458472820"/>
    <w:bookmarkStart w:id="274" w:name="_MON_1498301050"/>
    <w:bookmarkStart w:id="275" w:name="_MON_1431159371"/>
    <w:bookmarkEnd w:id="269"/>
    <w:bookmarkEnd w:id="270"/>
    <w:bookmarkEnd w:id="271"/>
    <w:bookmarkEnd w:id="272"/>
    <w:bookmarkEnd w:id="273"/>
    <w:bookmarkEnd w:id="274"/>
    <w:bookmarkEnd w:id="275"/>
    <w:bookmarkStart w:id="276" w:name="_MON_1506406191"/>
    <w:bookmarkEnd w:id="276"/>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83" type="#_x0000_t75" style="width:508.5pt;height:87.75pt" o:ole="">
            <v:imagedata r:id="rId125" o:title=""/>
          </v:shape>
          <o:OLEObject Type="Embed" ProgID="Excel.Sheet.12" ShapeID="_x0000_i1083" DrawAspect="Content" ObjectID="_1554906159" r:id="rId126"/>
        </w:object>
      </w:r>
      <w:r>
        <w:rPr>
          <w:rFonts w:ascii="Arial" w:hAnsi="Arial" w:cs="Arial"/>
          <w:lang w:val="es-CR"/>
        </w:rPr>
        <w:t>Las variaciones mostradas corresponden a una disminución en prestaciones legales.</w:t>
      </w:r>
    </w:p>
    <w:p w:rsidR="002D306C" w:rsidRDefault="002D306C" w:rsidP="002D306C">
      <w:pPr>
        <w:jc w:val="both"/>
        <w:rPr>
          <w:rFonts w:ascii="Arial" w:hAnsi="Arial" w:cs="Arial"/>
          <w:lang w:val="es-CR"/>
        </w:rPr>
      </w:pPr>
    </w:p>
    <w:p w:rsidR="002D306C" w:rsidRDefault="002D306C" w:rsidP="002D306C">
      <w:pPr>
        <w:rPr>
          <w:b/>
          <w:bCs/>
          <w:color w:val="365F91"/>
          <w:sz w:val="24"/>
          <w:lang w:val="es-ES"/>
        </w:rPr>
      </w:pPr>
      <w:r w:rsidRPr="00BB12D7">
        <w:rPr>
          <w:color w:val="365F91"/>
          <w:lang w:val="es-ES"/>
        </w:rPr>
        <w:br w:type="page"/>
      </w:r>
    </w:p>
    <w:p w:rsidR="002D306C" w:rsidRPr="00B87C7B" w:rsidRDefault="002D306C" w:rsidP="002D306C">
      <w:pPr>
        <w:pStyle w:val="Ttulo3"/>
        <w:jc w:val="both"/>
        <w:rPr>
          <w:color w:val="365F91"/>
        </w:rPr>
      </w:pPr>
      <w:r w:rsidRPr="00B87C7B">
        <w:rPr>
          <w:color w:val="365F91"/>
        </w:rPr>
        <w:lastRenderedPageBreak/>
        <w:t>NOTA No. 12 - Jubilación</w:t>
      </w:r>
    </w:p>
    <w:p w:rsidR="002D306C" w:rsidRPr="002D306C" w:rsidRDefault="002D306C" w:rsidP="002D306C">
      <w:pPr>
        <w:jc w:val="both"/>
        <w:rPr>
          <w:rFonts w:ascii="Candara" w:hAnsi="Candara" w:cs="Arial"/>
          <w:lang w:val="es-ES"/>
        </w:rPr>
      </w:pPr>
    </w:p>
    <w:bookmarkStart w:id="277" w:name="_MON_1474888752"/>
    <w:bookmarkStart w:id="278" w:name="_MON_1483876488"/>
    <w:bookmarkStart w:id="279" w:name="_MON_1466573784"/>
    <w:bookmarkStart w:id="280" w:name="_MON_1490596708"/>
    <w:bookmarkStart w:id="281" w:name="_MON_1458472852"/>
    <w:bookmarkStart w:id="282" w:name="_MON_1498301062"/>
    <w:bookmarkStart w:id="283" w:name="_MON_1431159517"/>
    <w:bookmarkEnd w:id="277"/>
    <w:bookmarkEnd w:id="278"/>
    <w:bookmarkEnd w:id="279"/>
    <w:bookmarkEnd w:id="280"/>
    <w:bookmarkEnd w:id="281"/>
    <w:bookmarkEnd w:id="282"/>
    <w:bookmarkEnd w:id="283"/>
    <w:bookmarkStart w:id="284" w:name="_MON_1506406202"/>
    <w:bookmarkEnd w:id="284"/>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84" type="#_x0000_t75" style="width:508.5pt;height:87.75pt" o:ole="">
            <v:imagedata r:id="rId127" o:title=""/>
          </v:shape>
          <o:OLEObject Type="Embed" ProgID="Excel.Sheet.12" ShapeID="_x0000_i1084" DrawAspect="Content" ObjectID="_1554906160" r:id="rId128"/>
        </w:object>
      </w:r>
      <w:r w:rsidRPr="00BB12D7">
        <w:rPr>
          <w:rFonts w:ascii="Candara" w:hAnsi="Candara" w:cs="Arial"/>
          <w:color w:val="000000"/>
          <w:sz w:val="24"/>
          <w:szCs w:val="24"/>
          <w:lang w:val="es-ES"/>
        </w:rPr>
        <w:t>E</w:t>
      </w:r>
      <w:r>
        <w:rPr>
          <w:rFonts w:ascii="Arial" w:hAnsi="Arial" w:cs="Arial"/>
          <w:lang w:val="es-CR"/>
        </w:rPr>
        <w:t>el aumento corresponde a la provisión mensual.</w:t>
      </w:r>
    </w:p>
    <w:p w:rsidR="002D306C" w:rsidRPr="00BB12D7" w:rsidRDefault="002D306C" w:rsidP="002D306C">
      <w:pPr>
        <w:jc w:val="both"/>
        <w:rPr>
          <w:rFonts w:ascii="Candara" w:hAnsi="Candara" w:cs="Arial"/>
          <w:color w:val="000000"/>
          <w:sz w:val="24"/>
          <w:szCs w:val="24"/>
          <w:lang w:val="es-ES"/>
        </w:rPr>
      </w:pPr>
    </w:p>
    <w:p w:rsidR="002D306C" w:rsidRPr="00B87C7B" w:rsidRDefault="002D306C" w:rsidP="002D306C">
      <w:pPr>
        <w:pStyle w:val="Ttulo3"/>
        <w:jc w:val="both"/>
        <w:rPr>
          <w:color w:val="365F91"/>
        </w:rPr>
      </w:pPr>
      <w:r w:rsidRPr="00B87C7B">
        <w:rPr>
          <w:color w:val="365F91"/>
        </w:rPr>
        <w:t>NOTA No. 13 - Intereses, comisiones, multas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285" w:name="_MON_1431159675"/>
    <w:bookmarkEnd w:id="285"/>
    <w:bookmarkStart w:id="286" w:name="_MON_1490596732"/>
    <w:bookmarkEnd w:id="286"/>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085" type="#_x0000_t75" style="width:508.5pt;height:87.75pt" o:ole="">
            <v:imagedata r:id="rId129" o:title=""/>
          </v:shape>
          <o:OLEObject Type="Embed" ProgID="Excel.Sheet.12" ShapeID="_x0000_i1085" DrawAspect="Content" ObjectID="_1554906161" r:id="rId130"/>
        </w:object>
      </w:r>
    </w:p>
    <w:p w:rsidR="002D306C" w:rsidRPr="00B87C7B" w:rsidRDefault="002D306C" w:rsidP="002D306C">
      <w:pPr>
        <w:pStyle w:val="Ttulo3"/>
        <w:jc w:val="both"/>
        <w:rPr>
          <w:color w:val="365F91"/>
        </w:rPr>
      </w:pPr>
      <w:r w:rsidRPr="00B87C7B">
        <w:rPr>
          <w:color w:val="365F91"/>
        </w:rPr>
        <w:t>NOTA No. 14 - Diferencias del tipo de cambio</w:t>
      </w:r>
    </w:p>
    <w:p w:rsidR="002D306C" w:rsidRPr="002D306C" w:rsidRDefault="002D306C" w:rsidP="002D306C">
      <w:pPr>
        <w:spacing w:line="276" w:lineRule="auto"/>
        <w:jc w:val="both"/>
        <w:rPr>
          <w:rFonts w:ascii="Arial" w:hAnsi="Arial" w:cs="Arial"/>
          <w:sz w:val="24"/>
          <w:szCs w:val="24"/>
          <w:lang w:val="es-ES"/>
        </w:rPr>
      </w:pPr>
    </w:p>
    <w:bookmarkStart w:id="287" w:name="_MON_1431159836"/>
    <w:bookmarkStart w:id="288" w:name="_MON_1498301075"/>
    <w:bookmarkStart w:id="289" w:name="_MON_1490596742"/>
    <w:bookmarkEnd w:id="287"/>
    <w:bookmarkEnd w:id="288"/>
    <w:bookmarkEnd w:id="289"/>
    <w:bookmarkStart w:id="290" w:name="_MON_1506406231"/>
    <w:bookmarkEnd w:id="290"/>
    <w:p w:rsidR="002D306C" w:rsidRPr="00BB12D7" w:rsidRDefault="002D306C" w:rsidP="002D306C">
      <w:pPr>
        <w:jc w:val="both"/>
        <w:rPr>
          <w:rFonts w:ascii="Candara" w:hAnsi="Candara" w:cs="Arial"/>
          <w:color w:val="000000"/>
          <w:sz w:val="24"/>
          <w:szCs w:val="24"/>
          <w:lang w:val="es-ES"/>
        </w:rPr>
      </w:pPr>
      <w:r w:rsidRPr="009164C7">
        <w:rPr>
          <w:rFonts w:ascii="Candara" w:hAnsi="Candara" w:cs="Arial"/>
          <w:color w:val="000000"/>
          <w:sz w:val="24"/>
          <w:szCs w:val="24"/>
        </w:rPr>
        <w:object w:dxaOrig="10187" w:dyaOrig="1758">
          <v:shape id="_x0000_i1086" type="#_x0000_t75" style="width:508.5pt;height:87.75pt" o:ole="">
            <v:imagedata r:id="rId131" o:title=""/>
          </v:shape>
          <o:OLEObject Type="Embed" ProgID="Excel.Sheet.12" ShapeID="_x0000_i1086" DrawAspect="Content" ObjectID="_1554906162" r:id="rId132"/>
        </w:object>
      </w:r>
      <w:r>
        <w:rPr>
          <w:rFonts w:ascii="Arial" w:hAnsi="Arial" w:cs="Arial"/>
          <w:lang w:val="es-CR"/>
        </w:rPr>
        <w:t>Las variaciones mostradas corresponden por la aplicación del tipo de cambio a las facturas en dólares.</w:t>
      </w:r>
    </w:p>
    <w:p w:rsidR="002D306C" w:rsidRDefault="002D306C" w:rsidP="002D306C">
      <w:pPr>
        <w:jc w:val="both"/>
        <w:rPr>
          <w:b/>
          <w:bCs/>
          <w:color w:val="365F91"/>
          <w:sz w:val="24"/>
          <w:lang w:val="es-ES"/>
        </w:rPr>
      </w:pPr>
    </w:p>
    <w:p w:rsidR="002D306C" w:rsidRPr="00A022EB" w:rsidRDefault="002D306C" w:rsidP="002D306C">
      <w:pPr>
        <w:jc w:val="both"/>
        <w:rPr>
          <w:b/>
          <w:bCs/>
          <w:color w:val="365F91"/>
          <w:sz w:val="24"/>
          <w:lang w:val="es-ES"/>
        </w:rPr>
      </w:pPr>
      <w:r w:rsidRPr="00A022EB">
        <w:rPr>
          <w:b/>
          <w:bCs/>
          <w:color w:val="365F91"/>
          <w:sz w:val="24"/>
          <w:lang w:val="es-ES"/>
        </w:rPr>
        <w:t>NOTA No. 15 - Otros pagos</w:t>
      </w:r>
    </w:p>
    <w:p w:rsidR="002D306C" w:rsidRPr="002D306C" w:rsidRDefault="002D306C" w:rsidP="002D306C">
      <w:pPr>
        <w:spacing w:line="276" w:lineRule="auto"/>
        <w:jc w:val="both"/>
        <w:rPr>
          <w:rFonts w:ascii="Arial" w:hAnsi="Arial" w:cs="Arial"/>
          <w:sz w:val="24"/>
          <w:szCs w:val="24"/>
          <w:lang w:val="es-ES"/>
        </w:rPr>
      </w:pPr>
    </w:p>
    <w:bookmarkStart w:id="291" w:name="_MON_1431159819"/>
    <w:bookmarkEnd w:id="291"/>
    <w:bookmarkStart w:id="292" w:name="_MON_1490596758"/>
    <w:bookmarkEnd w:id="292"/>
    <w:p w:rsidR="002D306C" w:rsidRPr="00BB12D7" w:rsidRDefault="002D306C" w:rsidP="002D306C">
      <w:pPr>
        <w:jc w:val="both"/>
        <w:rPr>
          <w:rFonts w:ascii="Candara" w:hAnsi="Candara" w:cs="Arial"/>
          <w:lang w:val="es-ES"/>
        </w:rPr>
      </w:pPr>
      <w:r w:rsidRPr="009164C7">
        <w:rPr>
          <w:rFonts w:ascii="Candara" w:hAnsi="Candara" w:cs="Arial"/>
          <w:color w:val="000000"/>
          <w:sz w:val="24"/>
          <w:szCs w:val="24"/>
        </w:rPr>
        <w:object w:dxaOrig="10187" w:dyaOrig="1758">
          <v:shape id="_x0000_i1087" type="#_x0000_t75" style="width:508.5pt;height:87.75pt" o:ole="">
            <v:imagedata r:id="rId133" o:title=""/>
          </v:shape>
          <o:OLEObject Type="Embed" ProgID="Excel.Sheet.12" ShapeID="_x0000_i1087" DrawAspect="Content" ObjectID="_1554906163" r:id="rId134"/>
        </w:object>
      </w:r>
      <w:r w:rsidRPr="00E81992">
        <w:rPr>
          <w:rFonts w:ascii="Arial" w:hAnsi="Arial" w:cs="Arial"/>
          <w:lang w:val="es-CR"/>
        </w:rPr>
        <w:t>Las variaciones corresponden a ajustes mínimos.</w:t>
      </w:r>
    </w:p>
    <w:p w:rsidR="002D306C" w:rsidRDefault="002D306C" w:rsidP="002D306C">
      <w:pPr>
        <w:pStyle w:val="Ttulo2"/>
        <w:jc w:val="both"/>
        <w:rPr>
          <w:color w:val="365F91"/>
        </w:rPr>
      </w:pPr>
    </w:p>
    <w:p w:rsidR="002D306C" w:rsidRDefault="002D306C" w:rsidP="002D306C">
      <w:pPr>
        <w:rPr>
          <w:color w:val="365F91"/>
          <w:sz w:val="24"/>
          <w:lang w:val="es-ES"/>
        </w:rPr>
      </w:pPr>
      <w:r w:rsidRPr="00BB12D7">
        <w:rPr>
          <w:color w:val="365F91"/>
          <w:lang w:val="es-ES"/>
        </w:rPr>
        <w:br w:type="page"/>
      </w:r>
    </w:p>
    <w:p w:rsidR="002D306C" w:rsidRPr="00B87C7B" w:rsidRDefault="002D306C" w:rsidP="002D306C">
      <w:pPr>
        <w:pStyle w:val="Ttulo2"/>
        <w:jc w:val="both"/>
        <w:rPr>
          <w:color w:val="365F91"/>
        </w:rPr>
      </w:pPr>
      <w:r w:rsidRPr="00B87C7B">
        <w:rPr>
          <w:color w:val="365F91"/>
        </w:rPr>
        <w:lastRenderedPageBreak/>
        <w:t>Actividades de  Inversión</w:t>
      </w:r>
    </w:p>
    <w:p w:rsidR="002D306C" w:rsidRPr="00B87C7B" w:rsidRDefault="002D306C" w:rsidP="002D306C">
      <w:pPr>
        <w:pStyle w:val="Ttulo2"/>
        <w:keepLines/>
        <w:numPr>
          <w:ilvl w:val="0"/>
          <w:numId w:val="15"/>
        </w:numPr>
        <w:spacing w:before="200" w:line="360" w:lineRule="auto"/>
        <w:jc w:val="both"/>
        <w:rPr>
          <w:color w:val="365F91"/>
        </w:rPr>
      </w:pPr>
      <w:r w:rsidRPr="00B87C7B">
        <w:rPr>
          <w:color w:val="365F91"/>
        </w:rPr>
        <w:t>Entradas de Efectivo</w:t>
      </w:r>
    </w:p>
    <w:p w:rsidR="002D306C" w:rsidRPr="00B87C7B" w:rsidRDefault="002D306C" w:rsidP="002D306C">
      <w:pPr>
        <w:pStyle w:val="Ttulo3"/>
        <w:jc w:val="both"/>
        <w:rPr>
          <w:color w:val="365F91"/>
        </w:rPr>
      </w:pPr>
      <w:r w:rsidRPr="00B87C7B">
        <w:rPr>
          <w:color w:val="365F91"/>
        </w:rPr>
        <w:t>NOTA No. 16 - Venta de Bienes Duraderos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293" w:name="_MON_1431160090"/>
    <w:bookmarkEnd w:id="293"/>
    <w:bookmarkStart w:id="294" w:name="_MON_1490596773"/>
    <w:bookmarkEnd w:id="294"/>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088" type="#_x0000_t75" style="width:508.5pt;height:87.75pt" o:ole="">
            <v:imagedata r:id="rId135" o:title=""/>
          </v:shape>
          <o:OLEObject Type="Embed" ProgID="Excel.Sheet.12" ShapeID="_x0000_i1088" DrawAspect="Content" ObjectID="_1554906164" r:id="rId136"/>
        </w:object>
      </w:r>
    </w:p>
    <w:p w:rsidR="002D306C" w:rsidRPr="00B87C7B" w:rsidRDefault="002D306C" w:rsidP="002D306C">
      <w:pPr>
        <w:pStyle w:val="Ttulo3"/>
        <w:jc w:val="both"/>
        <w:rPr>
          <w:color w:val="365F91"/>
        </w:rPr>
      </w:pPr>
      <w:r w:rsidRPr="00B87C7B">
        <w:rPr>
          <w:color w:val="365F91"/>
        </w:rPr>
        <w:t>NOTA No. 17 - Venta de Valores e inversiones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295" w:name="_MON_1431160240"/>
    <w:bookmarkEnd w:id="295"/>
    <w:bookmarkStart w:id="296" w:name="_MON_1490596782"/>
    <w:bookmarkEnd w:id="296"/>
    <w:p w:rsidR="002D306C" w:rsidRPr="002D306C" w:rsidRDefault="002D306C" w:rsidP="002D306C">
      <w:pPr>
        <w:jc w:val="both"/>
        <w:rPr>
          <w:color w:val="365F91"/>
          <w:lang w:val="es-ES"/>
        </w:rPr>
      </w:pPr>
      <w:r w:rsidRPr="009164C7">
        <w:rPr>
          <w:rFonts w:ascii="Candara" w:hAnsi="Candara" w:cs="Arial"/>
          <w:color w:val="000000"/>
          <w:sz w:val="24"/>
          <w:szCs w:val="24"/>
        </w:rPr>
        <w:object w:dxaOrig="10187" w:dyaOrig="1758">
          <v:shape id="_x0000_i1089" type="#_x0000_t75" style="width:508.5pt;height:87.75pt" o:ole="">
            <v:imagedata r:id="rId137" o:title=""/>
          </v:shape>
          <o:OLEObject Type="Embed" ProgID="Excel.Sheet.12" ShapeID="_x0000_i1089" DrawAspect="Content" ObjectID="_1554906165" r:id="rId138"/>
        </w:object>
      </w:r>
      <w:r w:rsidRPr="002D306C">
        <w:rPr>
          <w:rFonts w:ascii="Candara" w:hAnsi="Candara" w:cs="Arial"/>
          <w:b/>
          <w:color w:val="000000"/>
          <w:sz w:val="24"/>
          <w:szCs w:val="24"/>
          <w:u w:val="single"/>
          <w:lang w:val="es-ES"/>
        </w:rPr>
        <w:t xml:space="preserve"> </w:t>
      </w:r>
    </w:p>
    <w:p w:rsidR="002D306C" w:rsidRPr="00B87C7B" w:rsidRDefault="002D306C" w:rsidP="002D306C">
      <w:pPr>
        <w:pStyle w:val="Ttulo3"/>
        <w:jc w:val="both"/>
        <w:rPr>
          <w:color w:val="365F91"/>
        </w:rPr>
      </w:pPr>
      <w:r w:rsidRPr="00B87C7B">
        <w:rPr>
          <w:color w:val="365F91"/>
        </w:rPr>
        <w:t>NOTA No. 18 – Otros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Pr>
          <w:rFonts w:ascii="Arial" w:hAnsi="Arial" w:cs="Arial"/>
          <w:lang w:val="es-CR"/>
        </w:rPr>
        <w:t>No aplica en este momento.</w:t>
      </w:r>
    </w:p>
    <w:bookmarkStart w:id="297" w:name="_MON_1466573800"/>
    <w:bookmarkStart w:id="298" w:name="_MON_1490596789"/>
    <w:bookmarkStart w:id="299" w:name="_MON_1458472979"/>
    <w:bookmarkEnd w:id="297"/>
    <w:bookmarkEnd w:id="298"/>
    <w:bookmarkEnd w:id="299"/>
    <w:bookmarkStart w:id="300" w:name="_MON_1431160310"/>
    <w:bookmarkEnd w:id="300"/>
    <w:p w:rsidR="002D306C" w:rsidRDefault="002D306C" w:rsidP="002D306C">
      <w:pPr>
        <w:jc w:val="both"/>
      </w:pPr>
      <w:r w:rsidRPr="009164C7">
        <w:rPr>
          <w:rFonts w:ascii="Candara" w:hAnsi="Candara" w:cs="Arial"/>
          <w:color w:val="000000"/>
          <w:sz w:val="24"/>
          <w:szCs w:val="24"/>
        </w:rPr>
        <w:object w:dxaOrig="10187" w:dyaOrig="1758">
          <v:shape id="_x0000_i1090" type="#_x0000_t75" style="width:508.5pt;height:87.75pt" o:ole="">
            <v:imagedata r:id="rId139" o:title=""/>
          </v:shape>
          <o:OLEObject Type="Embed" ProgID="Excel.Sheet.12" ShapeID="_x0000_i1090" DrawAspect="Content" ObjectID="_1554906166" r:id="rId140"/>
        </w:object>
      </w:r>
    </w:p>
    <w:p w:rsidR="002D306C" w:rsidRPr="00C03298" w:rsidRDefault="002D306C" w:rsidP="002D306C">
      <w:pPr>
        <w:pStyle w:val="Ttulo2"/>
        <w:keepLines/>
        <w:numPr>
          <w:ilvl w:val="0"/>
          <w:numId w:val="15"/>
        </w:numPr>
        <w:spacing w:before="200" w:line="360" w:lineRule="auto"/>
        <w:jc w:val="both"/>
        <w:rPr>
          <w:color w:val="365F91"/>
        </w:rPr>
      </w:pPr>
      <w:r w:rsidRPr="00C03298">
        <w:rPr>
          <w:color w:val="365F91"/>
        </w:rPr>
        <w:t>Salidas de Efectivo</w:t>
      </w:r>
    </w:p>
    <w:p w:rsidR="002D306C" w:rsidRPr="00A022EB" w:rsidRDefault="002D306C" w:rsidP="002D306C">
      <w:pPr>
        <w:spacing w:line="276" w:lineRule="auto"/>
        <w:jc w:val="both"/>
        <w:rPr>
          <w:b/>
          <w:bCs/>
          <w:color w:val="365F91"/>
          <w:sz w:val="24"/>
          <w:lang w:val="es-ES"/>
        </w:rPr>
      </w:pPr>
      <w:r w:rsidRPr="00C03298">
        <w:rPr>
          <w:b/>
          <w:bCs/>
          <w:color w:val="365F91"/>
          <w:sz w:val="24"/>
          <w:lang w:val="es-ES"/>
        </w:rPr>
        <w:t>NOTA No. 19 - Compra de Maquinaria, Equipo y Mobiliario</w:t>
      </w:r>
    </w:p>
    <w:p w:rsidR="002D306C" w:rsidRPr="002D306C" w:rsidRDefault="002D306C" w:rsidP="002D306C">
      <w:pPr>
        <w:spacing w:line="276" w:lineRule="auto"/>
        <w:jc w:val="both"/>
        <w:rPr>
          <w:rFonts w:ascii="Arial" w:hAnsi="Arial" w:cs="Arial"/>
          <w:sz w:val="24"/>
          <w:szCs w:val="24"/>
          <w:lang w:val="es-ES"/>
        </w:rPr>
      </w:pPr>
    </w:p>
    <w:bookmarkStart w:id="301" w:name="_MON_1466573824"/>
    <w:bookmarkStart w:id="302" w:name="_MON_1490596823"/>
    <w:bookmarkStart w:id="303" w:name="_MON_1458473021"/>
    <w:bookmarkStart w:id="304" w:name="_MON_1498301090"/>
    <w:bookmarkStart w:id="305" w:name="_MON_1474888847"/>
    <w:bookmarkStart w:id="306" w:name="_MON_1506406325"/>
    <w:bookmarkEnd w:id="301"/>
    <w:bookmarkEnd w:id="302"/>
    <w:bookmarkEnd w:id="303"/>
    <w:bookmarkEnd w:id="304"/>
    <w:bookmarkEnd w:id="305"/>
    <w:bookmarkEnd w:id="306"/>
    <w:bookmarkStart w:id="307" w:name="_MON_1483876625"/>
    <w:bookmarkEnd w:id="307"/>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91" type="#_x0000_t75" style="width:508.5pt;height:87.75pt" o:ole="">
            <v:imagedata r:id="rId141" o:title=""/>
          </v:shape>
          <o:OLEObject Type="Embed" ProgID="Excel.Sheet.12" ShapeID="_x0000_i1091" DrawAspect="Content" ObjectID="_1554906167" r:id="rId142"/>
        </w:object>
      </w:r>
      <w:bookmarkStart w:id="308" w:name="_MON_1431160372"/>
      <w:bookmarkEnd w:id="308"/>
      <w:r>
        <w:rPr>
          <w:rFonts w:ascii="Arial" w:hAnsi="Arial" w:cs="Arial"/>
          <w:lang w:val="es-CR"/>
        </w:rPr>
        <w:t>Las variaciones mostradas corresponden a una mayor adquisición de activos con respecto al año 2015.</w:t>
      </w:r>
    </w:p>
    <w:p w:rsidR="002D306C" w:rsidRPr="00BB12D7" w:rsidRDefault="002D306C" w:rsidP="002D306C">
      <w:pPr>
        <w:jc w:val="both"/>
        <w:rPr>
          <w:rFonts w:ascii="Candara" w:hAnsi="Candara" w:cs="Arial"/>
          <w:color w:val="000000"/>
          <w:sz w:val="24"/>
          <w:szCs w:val="24"/>
          <w:lang w:val="es-ES"/>
        </w:rPr>
      </w:pPr>
    </w:p>
    <w:p w:rsidR="002D306C" w:rsidRDefault="002D306C" w:rsidP="002D306C">
      <w:pPr>
        <w:rPr>
          <w:b/>
          <w:bCs/>
          <w:color w:val="365F91"/>
          <w:sz w:val="24"/>
          <w:lang w:val="es-ES"/>
        </w:rPr>
      </w:pPr>
      <w:r w:rsidRPr="00BB12D7">
        <w:rPr>
          <w:color w:val="365F91"/>
          <w:lang w:val="es-ES"/>
        </w:rPr>
        <w:br w:type="page"/>
      </w:r>
    </w:p>
    <w:p w:rsidR="002D306C" w:rsidRPr="00B87C7B" w:rsidRDefault="002D306C" w:rsidP="002D306C">
      <w:pPr>
        <w:pStyle w:val="Ttulo3"/>
        <w:jc w:val="both"/>
        <w:rPr>
          <w:color w:val="365F91"/>
        </w:rPr>
      </w:pPr>
      <w:r w:rsidRPr="00B87C7B">
        <w:rPr>
          <w:color w:val="365F91"/>
        </w:rPr>
        <w:lastRenderedPageBreak/>
        <w:t>NOTA No. 20 - Compra de Bienes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09" w:name="_MON_1490596859"/>
    <w:bookmarkStart w:id="310" w:name="_MON_1431160461"/>
    <w:bookmarkEnd w:id="309"/>
    <w:bookmarkEnd w:id="310"/>
    <w:bookmarkStart w:id="311" w:name="_MON_1498301101"/>
    <w:bookmarkEnd w:id="311"/>
    <w:p w:rsidR="002D306C" w:rsidRDefault="002D306C" w:rsidP="002D306C">
      <w:pPr>
        <w:jc w:val="both"/>
        <w:rPr>
          <w:rFonts w:ascii="Arial" w:hAnsi="Arial" w:cs="Arial"/>
        </w:rPr>
      </w:pPr>
      <w:r w:rsidRPr="009164C7">
        <w:rPr>
          <w:rFonts w:ascii="Candara" w:hAnsi="Candara" w:cs="Arial"/>
          <w:color w:val="000000"/>
          <w:sz w:val="24"/>
          <w:szCs w:val="24"/>
        </w:rPr>
        <w:object w:dxaOrig="10187" w:dyaOrig="1758">
          <v:shape id="_x0000_i1092" type="#_x0000_t75" style="width:508.5pt;height:87.75pt" o:ole="">
            <v:imagedata r:id="rId143" o:title=""/>
          </v:shape>
          <o:OLEObject Type="Embed" ProgID="Excel.Sheet.12" ShapeID="_x0000_i1092" DrawAspect="Content" ObjectID="_1554906168" r:id="rId144"/>
        </w:object>
      </w:r>
    </w:p>
    <w:p w:rsidR="002D306C" w:rsidRDefault="002D306C" w:rsidP="002D306C">
      <w:pPr>
        <w:pStyle w:val="Ttulo3"/>
        <w:jc w:val="both"/>
        <w:rPr>
          <w:color w:val="365F91"/>
        </w:rPr>
      </w:pPr>
      <w:r w:rsidRPr="00B87C7B">
        <w:rPr>
          <w:color w:val="365F91"/>
        </w:rPr>
        <w:t>NOTA No. 21 - Pago de construcciones adiciones  y mejoras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12" w:name="_MON_1431160510"/>
    <w:bookmarkStart w:id="313" w:name="_MON_1490596866"/>
    <w:bookmarkStart w:id="314" w:name="_MON_1458473061"/>
    <w:bookmarkEnd w:id="312"/>
    <w:bookmarkEnd w:id="313"/>
    <w:bookmarkEnd w:id="314"/>
    <w:bookmarkStart w:id="315" w:name="_MON_1474888869"/>
    <w:bookmarkEnd w:id="315"/>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2082">
          <v:shape id="_x0000_i1093" type="#_x0000_t75" style="width:508.5pt;height:104.25pt" o:ole="">
            <v:imagedata r:id="rId145" o:title=""/>
          </v:shape>
          <o:OLEObject Type="Embed" ProgID="Excel.Sheet.12" ShapeID="_x0000_i1093" DrawAspect="Content" ObjectID="_1554906169" r:id="rId146"/>
        </w:object>
      </w:r>
    </w:p>
    <w:p w:rsidR="002D306C" w:rsidRPr="00B87C7B" w:rsidRDefault="002D306C" w:rsidP="002D306C">
      <w:pPr>
        <w:pStyle w:val="Ttulo3"/>
        <w:jc w:val="both"/>
        <w:rPr>
          <w:color w:val="365F91"/>
        </w:rPr>
      </w:pPr>
      <w:r w:rsidRPr="00B87C7B">
        <w:rPr>
          <w:color w:val="365F91"/>
        </w:rPr>
        <w:t>NOTA No. 22 - Compra de Valores e inversiones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16" w:name="_MON_1431160591"/>
    <w:bookmarkEnd w:id="316"/>
    <w:bookmarkStart w:id="317" w:name="_MON_1490596909"/>
    <w:bookmarkEnd w:id="317"/>
    <w:p w:rsidR="002D306C" w:rsidRDefault="002D306C" w:rsidP="002D306C">
      <w:pPr>
        <w:jc w:val="both"/>
        <w:rPr>
          <w:rFonts w:ascii="Candara" w:hAnsi="Candara" w:cs="Arial"/>
          <w:b/>
          <w:color w:val="000000"/>
          <w:sz w:val="24"/>
          <w:szCs w:val="24"/>
          <w:u w:val="single"/>
        </w:rPr>
      </w:pPr>
      <w:r w:rsidRPr="009164C7">
        <w:rPr>
          <w:rFonts w:ascii="Candara" w:hAnsi="Candara" w:cs="Arial"/>
          <w:color w:val="000000"/>
          <w:sz w:val="24"/>
          <w:szCs w:val="24"/>
        </w:rPr>
        <w:object w:dxaOrig="10187" w:dyaOrig="1758">
          <v:shape id="_x0000_i1094" type="#_x0000_t75" style="width:508.5pt;height:87.75pt" o:ole="">
            <v:imagedata r:id="rId147" o:title=""/>
          </v:shape>
          <o:OLEObject Type="Embed" ProgID="Excel.Sheet.12" ShapeID="_x0000_i1094" DrawAspect="Content" ObjectID="_1554906170" r:id="rId148"/>
        </w:object>
      </w:r>
      <w:r w:rsidRPr="00203FE9">
        <w:rPr>
          <w:rFonts w:ascii="Candara" w:hAnsi="Candara" w:cs="Arial"/>
          <w:b/>
          <w:color w:val="000000"/>
          <w:sz w:val="24"/>
          <w:szCs w:val="24"/>
          <w:u w:val="single"/>
        </w:rPr>
        <w:t xml:space="preserve"> </w:t>
      </w:r>
    </w:p>
    <w:p w:rsidR="002D306C" w:rsidRPr="00A022EB" w:rsidRDefault="002D306C" w:rsidP="002D306C">
      <w:pPr>
        <w:pStyle w:val="Ttulo3"/>
        <w:jc w:val="both"/>
        <w:rPr>
          <w:color w:val="365F91"/>
        </w:rPr>
      </w:pPr>
      <w:r w:rsidRPr="00A022EB">
        <w:rPr>
          <w:color w:val="365F91"/>
        </w:rPr>
        <w:t>NOTA No. 23 - Otros</w:t>
      </w:r>
    </w:p>
    <w:p w:rsidR="002D306C" w:rsidRPr="00203FE9" w:rsidRDefault="002D306C" w:rsidP="002D306C">
      <w:pPr>
        <w:spacing w:line="276" w:lineRule="auto"/>
        <w:jc w:val="both"/>
        <w:rPr>
          <w:rFonts w:ascii="Arial" w:hAnsi="Arial" w:cs="Arial"/>
          <w:sz w:val="24"/>
          <w:szCs w:val="24"/>
        </w:rPr>
      </w:pPr>
    </w:p>
    <w:bookmarkStart w:id="318" w:name="_MON_1431160620"/>
    <w:bookmarkStart w:id="319" w:name="_MON_1498301108"/>
    <w:bookmarkStart w:id="320" w:name="_MON_1490596926"/>
    <w:bookmarkEnd w:id="318"/>
    <w:bookmarkEnd w:id="319"/>
    <w:bookmarkEnd w:id="320"/>
    <w:bookmarkStart w:id="321" w:name="_MON_1506406343"/>
    <w:bookmarkEnd w:id="321"/>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095" type="#_x0000_t75" style="width:508.5pt;height:87.75pt" o:ole="">
            <v:imagedata r:id="rId149" o:title=""/>
          </v:shape>
          <o:OLEObject Type="Embed" ProgID="Excel.Sheet.12" ShapeID="_x0000_i1095" DrawAspect="Content" ObjectID="_1554906171" r:id="rId150"/>
        </w:object>
      </w:r>
    </w:p>
    <w:p w:rsidR="002D306C" w:rsidRDefault="002D306C" w:rsidP="002D306C">
      <w:pPr>
        <w:jc w:val="both"/>
        <w:rPr>
          <w:rFonts w:ascii="Candara" w:hAnsi="Candara" w:cs="Arial"/>
          <w:color w:val="000000"/>
          <w:sz w:val="24"/>
          <w:szCs w:val="24"/>
        </w:rPr>
      </w:pPr>
    </w:p>
    <w:p w:rsidR="002D306C" w:rsidRDefault="002D306C" w:rsidP="002D306C">
      <w:pPr>
        <w:rPr>
          <w:color w:val="365F91"/>
          <w:sz w:val="24"/>
          <w:lang w:val="es-ES"/>
        </w:rPr>
      </w:pPr>
      <w:r>
        <w:rPr>
          <w:color w:val="365F91"/>
        </w:rPr>
        <w:br w:type="page"/>
      </w:r>
    </w:p>
    <w:p w:rsidR="002D306C" w:rsidRPr="00B87C7B" w:rsidRDefault="002D306C" w:rsidP="002D306C">
      <w:pPr>
        <w:pStyle w:val="Ttulo2"/>
        <w:jc w:val="both"/>
        <w:rPr>
          <w:color w:val="365F91"/>
        </w:rPr>
      </w:pPr>
      <w:r w:rsidRPr="00B87C7B">
        <w:rPr>
          <w:color w:val="365F91"/>
        </w:rPr>
        <w:lastRenderedPageBreak/>
        <w:t>Actividades de Financiación</w:t>
      </w:r>
    </w:p>
    <w:p w:rsidR="002D306C" w:rsidRPr="00B87C7B" w:rsidRDefault="002D306C" w:rsidP="002D306C">
      <w:pPr>
        <w:pStyle w:val="Ttulo2"/>
        <w:keepLines/>
        <w:numPr>
          <w:ilvl w:val="0"/>
          <w:numId w:val="16"/>
        </w:numPr>
        <w:spacing w:before="200" w:line="360" w:lineRule="auto"/>
        <w:jc w:val="both"/>
        <w:rPr>
          <w:color w:val="365F91"/>
        </w:rPr>
      </w:pPr>
      <w:r w:rsidRPr="00B87C7B">
        <w:rPr>
          <w:color w:val="365F91"/>
        </w:rPr>
        <w:t>Entradas de Efectivo</w:t>
      </w:r>
    </w:p>
    <w:p w:rsidR="002D306C" w:rsidRPr="00B87C7B" w:rsidRDefault="002D306C" w:rsidP="002D306C">
      <w:pPr>
        <w:pStyle w:val="Ttulo3"/>
        <w:jc w:val="both"/>
        <w:rPr>
          <w:color w:val="365F91"/>
        </w:rPr>
      </w:pPr>
      <w:r w:rsidRPr="00B87C7B">
        <w:rPr>
          <w:color w:val="365F91"/>
        </w:rPr>
        <w:t xml:space="preserve">NOTA No. 24 - Donaciones de capital en efectivo recibidas </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22" w:name="_MON_1431160688"/>
    <w:bookmarkEnd w:id="322"/>
    <w:bookmarkStart w:id="323" w:name="_MON_1490596988"/>
    <w:bookmarkEnd w:id="323"/>
    <w:p w:rsidR="002D306C" w:rsidRDefault="002D306C" w:rsidP="002D306C">
      <w:pPr>
        <w:jc w:val="both"/>
        <w:rPr>
          <w:b/>
          <w:bCs/>
          <w:color w:val="365F91"/>
          <w:sz w:val="24"/>
          <w:lang w:val="es-ES"/>
        </w:rPr>
      </w:pPr>
      <w:r w:rsidRPr="009164C7">
        <w:rPr>
          <w:rFonts w:ascii="Candara" w:hAnsi="Candara" w:cs="Arial"/>
          <w:color w:val="000000"/>
          <w:sz w:val="24"/>
          <w:szCs w:val="24"/>
        </w:rPr>
        <w:object w:dxaOrig="10187" w:dyaOrig="2082">
          <v:shape id="_x0000_i1096" type="#_x0000_t75" style="width:508.5pt;height:104.25pt" o:ole="">
            <v:imagedata r:id="rId151" o:title=""/>
          </v:shape>
          <o:OLEObject Type="Embed" ProgID="Excel.Sheet.12" ShapeID="_x0000_i1096" DrawAspect="Content" ObjectID="_1554906172" r:id="rId152"/>
        </w:object>
      </w:r>
    </w:p>
    <w:p w:rsidR="002D306C" w:rsidRPr="00B87C7B" w:rsidRDefault="002D306C" w:rsidP="002D306C">
      <w:pPr>
        <w:pStyle w:val="Ttulo3"/>
        <w:jc w:val="both"/>
        <w:rPr>
          <w:color w:val="365F91"/>
        </w:rPr>
      </w:pPr>
      <w:r w:rsidRPr="00B87C7B">
        <w:rPr>
          <w:color w:val="365F91"/>
        </w:rPr>
        <w:t>NOTA No. 25 - Transferencias de capital recibidas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spacing w:line="276" w:lineRule="auto"/>
        <w:jc w:val="both"/>
        <w:rPr>
          <w:rFonts w:ascii="Arial" w:hAnsi="Arial" w:cs="Arial"/>
          <w:sz w:val="24"/>
          <w:szCs w:val="24"/>
          <w:lang w:val="es-ES"/>
        </w:rPr>
      </w:pPr>
    </w:p>
    <w:bookmarkStart w:id="324" w:name="_MON_1490596995"/>
    <w:bookmarkEnd w:id="324"/>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097" type="#_x0000_t75" style="width:508.5pt;height:87.75pt" o:ole="">
            <v:imagedata r:id="rId153" o:title=""/>
          </v:shape>
          <o:OLEObject Type="Embed" ProgID="Excel.Sheet.12" ShapeID="_x0000_i1097" DrawAspect="Content" ObjectID="_1554906173" r:id="rId154"/>
        </w:object>
      </w:r>
      <w:bookmarkStart w:id="325" w:name="_MON_1431160731"/>
      <w:bookmarkEnd w:id="325"/>
    </w:p>
    <w:p w:rsidR="002D306C" w:rsidRPr="00A022EB" w:rsidRDefault="002D306C" w:rsidP="002D306C">
      <w:pPr>
        <w:jc w:val="both"/>
        <w:rPr>
          <w:b/>
          <w:bCs/>
          <w:color w:val="365F91"/>
          <w:sz w:val="24"/>
          <w:lang w:val="es-ES"/>
        </w:rPr>
      </w:pPr>
      <w:r w:rsidRPr="00A022EB">
        <w:rPr>
          <w:b/>
          <w:bCs/>
          <w:color w:val="365F91"/>
          <w:sz w:val="24"/>
          <w:lang w:val="es-ES"/>
        </w:rPr>
        <w:t>NOTA No. 26 - Préstamos Internos o externos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26" w:name="_MON_1431160790"/>
    <w:bookmarkEnd w:id="326"/>
    <w:bookmarkStart w:id="327" w:name="_MON_1490597003"/>
    <w:bookmarkEnd w:id="327"/>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098" type="#_x0000_t75" style="width:508.5pt;height:87.75pt" o:ole="">
            <v:imagedata r:id="rId155" o:title=""/>
          </v:shape>
          <o:OLEObject Type="Embed" ProgID="Excel.Sheet.12" ShapeID="_x0000_i1098" DrawAspect="Content" ObjectID="_1554906174" r:id="rId156"/>
        </w:object>
      </w:r>
    </w:p>
    <w:p w:rsidR="002D306C" w:rsidRPr="00A022EB" w:rsidRDefault="002D306C" w:rsidP="002D306C">
      <w:pPr>
        <w:jc w:val="both"/>
        <w:rPr>
          <w:b/>
          <w:bCs/>
          <w:color w:val="365F91"/>
          <w:sz w:val="24"/>
          <w:lang w:val="es-ES"/>
        </w:rPr>
      </w:pPr>
      <w:r w:rsidRPr="00A022EB">
        <w:rPr>
          <w:b/>
          <w:bCs/>
          <w:color w:val="365F91"/>
          <w:sz w:val="24"/>
          <w:lang w:val="es-ES"/>
        </w:rPr>
        <w:t>NOTA No. 27 - Amortización de préstamos e intereses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28" w:name="_MON_1431160911"/>
    <w:bookmarkEnd w:id="328"/>
    <w:bookmarkStart w:id="329" w:name="_MON_1490597010"/>
    <w:bookmarkEnd w:id="329"/>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099" type="#_x0000_t75" style="width:508.5pt;height:87.75pt" o:ole="">
            <v:imagedata r:id="rId157" o:title=""/>
          </v:shape>
          <o:OLEObject Type="Embed" ProgID="Excel.Sheet.12" ShapeID="_x0000_i1099" DrawAspect="Content" ObjectID="_1554906175" r:id="rId158"/>
        </w:object>
      </w:r>
    </w:p>
    <w:p w:rsidR="002D306C" w:rsidRPr="007F59F6" w:rsidRDefault="002D306C" w:rsidP="002D306C">
      <w:pPr>
        <w:pStyle w:val="Ttulo3"/>
        <w:jc w:val="both"/>
      </w:pPr>
      <w:r w:rsidRPr="00B87C7B">
        <w:rPr>
          <w:color w:val="365F91"/>
        </w:rPr>
        <w:lastRenderedPageBreak/>
        <w:t>NOTA No. 28 - Otros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spacing w:line="276" w:lineRule="auto"/>
        <w:jc w:val="both"/>
        <w:rPr>
          <w:rFonts w:ascii="Arial" w:hAnsi="Arial" w:cs="Arial"/>
          <w:sz w:val="24"/>
          <w:szCs w:val="24"/>
          <w:lang w:val="es-ES"/>
        </w:rPr>
      </w:pPr>
    </w:p>
    <w:bookmarkStart w:id="330" w:name="_MON_1490597027"/>
    <w:bookmarkEnd w:id="330"/>
    <w:p w:rsidR="002D306C" w:rsidRDefault="002D306C" w:rsidP="002D306C">
      <w:pPr>
        <w:spacing w:line="276" w:lineRule="auto"/>
        <w:jc w:val="both"/>
        <w:rPr>
          <w:rFonts w:ascii="Candara" w:hAnsi="Candara" w:cs="Arial"/>
          <w:b/>
          <w:bCs/>
          <w:color w:val="0070C0"/>
          <w:sz w:val="28"/>
          <w:szCs w:val="28"/>
          <w:u w:val="single"/>
        </w:rPr>
      </w:pPr>
      <w:r w:rsidRPr="009164C7">
        <w:rPr>
          <w:rFonts w:ascii="Candara" w:hAnsi="Candara" w:cs="Arial"/>
          <w:color w:val="000000"/>
          <w:sz w:val="24"/>
          <w:szCs w:val="24"/>
        </w:rPr>
        <w:object w:dxaOrig="10187" w:dyaOrig="1758">
          <v:shape id="_x0000_i1100" type="#_x0000_t75" style="width:508.5pt;height:87.75pt" o:ole="">
            <v:imagedata r:id="rId159" o:title=""/>
          </v:shape>
          <o:OLEObject Type="Embed" ProgID="Excel.Sheet.12" ShapeID="_x0000_i1100" DrawAspect="Content" ObjectID="_1554906176" r:id="rId160"/>
        </w:object>
      </w:r>
      <w:bookmarkStart w:id="331" w:name="_MON_1431160986"/>
      <w:bookmarkEnd w:id="331"/>
    </w:p>
    <w:p w:rsidR="002D306C" w:rsidRPr="00B87C7B" w:rsidRDefault="002D306C" w:rsidP="002D306C">
      <w:pPr>
        <w:pStyle w:val="Ttulo2"/>
        <w:keepLines/>
        <w:numPr>
          <w:ilvl w:val="0"/>
          <w:numId w:val="16"/>
        </w:numPr>
        <w:spacing w:before="200" w:line="360" w:lineRule="auto"/>
        <w:jc w:val="both"/>
        <w:rPr>
          <w:color w:val="365F91"/>
        </w:rPr>
      </w:pPr>
      <w:r w:rsidRPr="00B87C7B">
        <w:rPr>
          <w:color w:val="365F91"/>
        </w:rPr>
        <w:t>Salidas de Efectivo</w:t>
      </w:r>
    </w:p>
    <w:p w:rsidR="002D306C" w:rsidRPr="00B87C7B" w:rsidRDefault="002D306C" w:rsidP="002D306C">
      <w:pPr>
        <w:pStyle w:val="Ttulo3"/>
        <w:jc w:val="both"/>
        <w:rPr>
          <w:color w:val="365F91"/>
        </w:rPr>
      </w:pPr>
      <w:r w:rsidRPr="00B87C7B">
        <w:rPr>
          <w:color w:val="365F91"/>
        </w:rPr>
        <w:t>NOTA No. 29 Donaciones de capital en efectivos entregados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spacing w:line="276" w:lineRule="auto"/>
        <w:jc w:val="both"/>
        <w:rPr>
          <w:rFonts w:ascii="Arial" w:hAnsi="Arial" w:cs="Arial"/>
          <w:sz w:val="24"/>
          <w:szCs w:val="24"/>
          <w:lang w:val="es-ES"/>
        </w:rPr>
      </w:pPr>
    </w:p>
    <w:bookmarkStart w:id="332" w:name="_MON_1490597041"/>
    <w:bookmarkEnd w:id="332"/>
    <w:p w:rsidR="002D306C" w:rsidRPr="00203FE9" w:rsidRDefault="002D306C" w:rsidP="002D306C">
      <w:pPr>
        <w:jc w:val="both"/>
        <w:rPr>
          <w:rFonts w:ascii="Arial" w:hAnsi="Arial" w:cs="Arial"/>
          <w:b/>
          <w:bCs/>
          <w:color w:val="0070C0"/>
        </w:rPr>
      </w:pPr>
      <w:r w:rsidRPr="009164C7">
        <w:rPr>
          <w:rFonts w:ascii="Candara" w:hAnsi="Candara" w:cs="Arial"/>
          <w:color w:val="000000"/>
          <w:sz w:val="24"/>
          <w:szCs w:val="24"/>
        </w:rPr>
        <w:object w:dxaOrig="10187" w:dyaOrig="2082">
          <v:shape id="_x0000_i1101" type="#_x0000_t75" style="width:508.5pt;height:104.25pt" o:ole="">
            <v:imagedata r:id="rId161" o:title=""/>
          </v:shape>
          <o:OLEObject Type="Embed" ProgID="Excel.Sheet.12" ShapeID="_x0000_i1101" DrawAspect="Content" ObjectID="_1554906177" r:id="rId162"/>
        </w:object>
      </w:r>
      <w:bookmarkStart w:id="333" w:name="_MON_1431161034"/>
      <w:bookmarkEnd w:id="333"/>
    </w:p>
    <w:p w:rsidR="002D306C" w:rsidRPr="00B87C7B" w:rsidRDefault="002D306C" w:rsidP="002D306C">
      <w:pPr>
        <w:pStyle w:val="Ttulo3"/>
        <w:jc w:val="both"/>
        <w:rPr>
          <w:color w:val="365F91"/>
        </w:rPr>
      </w:pPr>
      <w:r w:rsidRPr="00B87C7B">
        <w:rPr>
          <w:color w:val="365F91"/>
        </w:rPr>
        <w:t>NOTA No. 30 - Transferencias de capital entregadas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34" w:name="_MON_1431161130"/>
    <w:bookmarkEnd w:id="334"/>
    <w:bookmarkStart w:id="335" w:name="_MON_1490597052"/>
    <w:bookmarkEnd w:id="335"/>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102" type="#_x0000_t75" style="width:508.5pt;height:87.75pt" o:ole="">
            <v:imagedata r:id="rId163" o:title=""/>
          </v:shape>
          <o:OLEObject Type="Embed" ProgID="Excel.Sheet.12" ShapeID="_x0000_i1102" DrawAspect="Content" ObjectID="_1554906178" r:id="rId164"/>
        </w:object>
      </w:r>
    </w:p>
    <w:p w:rsidR="002D306C" w:rsidRPr="00B87C7B" w:rsidRDefault="002D306C" w:rsidP="002D306C">
      <w:pPr>
        <w:pStyle w:val="Ttulo3"/>
        <w:jc w:val="both"/>
        <w:rPr>
          <w:color w:val="365F91"/>
        </w:rPr>
      </w:pPr>
      <w:r w:rsidRPr="00B87C7B">
        <w:rPr>
          <w:color w:val="365F91"/>
        </w:rPr>
        <w:t>NOTA No. 31 - Amortización de préstamos e intereses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jc w:val="both"/>
        <w:rPr>
          <w:rFonts w:ascii="Candara" w:hAnsi="Candara" w:cs="Arial"/>
          <w:lang w:val="es-ES"/>
        </w:rPr>
      </w:pPr>
    </w:p>
    <w:bookmarkStart w:id="336" w:name="_MON_1431161210"/>
    <w:bookmarkEnd w:id="336"/>
    <w:bookmarkStart w:id="337" w:name="_MON_1490597063"/>
    <w:bookmarkEnd w:id="337"/>
    <w:p w:rsidR="002D306C" w:rsidRPr="002D306C" w:rsidRDefault="002D306C" w:rsidP="002D306C">
      <w:pPr>
        <w:jc w:val="both"/>
        <w:rPr>
          <w:rFonts w:ascii="Candara" w:hAnsi="Candara" w:cs="Arial"/>
          <w:color w:val="000000"/>
          <w:sz w:val="24"/>
          <w:szCs w:val="24"/>
          <w:lang w:val="es-ES"/>
        </w:rPr>
      </w:pPr>
      <w:r w:rsidRPr="009164C7">
        <w:rPr>
          <w:rFonts w:ascii="Candara" w:hAnsi="Candara" w:cs="Arial"/>
          <w:color w:val="000000"/>
          <w:sz w:val="24"/>
          <w:szCs w:val="24"/>
        </w:rPr>
        <w:object w:dxaOrig="10187" w:dyaOrig="1758">
          <v:shape id="_x0000_i1103" type="#_x0000_t75" style="width:508.5pt;height:87.75pt" o:ole="">
            <v:imagedata r:id="rId165" o:title=""/>
          </v:shape>
          <o:OLEObject Type="Embed" ProgID="Excel.Sheet.12" ShapeID="_x0000_i1103" DrawAspect="Content" ObjectID="_1554906179" r:id="rId166"/>
        </w:object>
      </w:r>
      <w:r w:rsidRPr="002D306C">
        <w:rPr>
          <w:rFonts w:ascii="Candara" w:hAnsi="Candara" w:cs="Arial"/>
          <w:b/>
          <w:color w:val="000000"/>
          <w:sz w:val="24"/>
          <w:szCs w:val="24"/>
          <w:u w:val="single"/>
          <w:lang w:val="es-ES"/>
        </w:rPr>
        <w:t xml:space="preserve"> </w:t>
      </w:r>
    </w:p>
    <w:p w:rsidR="002D306C" w:rsidRDefault="002D306C" w:rsidP="002D306C">
      <w:pPr>
        <w:rPr>
          <w:b/>
          <w:bCs/>
          <w:color w:val="365F91"/>
          <w:sz w:val="24"/>
          <w:lang w:val="es-ES"/>
        </w:rPr>
      </w:pPr>
      <w:r w:rsidRPr="002D306C">
        <w:rPr>
          <w:color w:val="365F91"/>
          <w:lang w:val="es-ES"/>
        </w:rPr>
        <w:br w:type="page"/>
      </w:r>
    </w:p>
    <w:p w:rsidR="002D306C" w:rsidRPr="00B87C7B" w:rsidRDefault="002D306C" w:rsidP="002D306C">
      <w:pPr>
        <w:pStyle w:val="Ttulo3"/>
        <w:jc w:val="both"/>
        <w:rPr>
          <w:color w:val="365F91"/>
        </w:rPr>
      </w:pPr>
      <w:r w:rsidRPr="00B87C7B">
        <w:rPr>
          <w:color w:val="365F91"/>
        </w:rPr>
        <w:lastRenderedPageBreak/>
        <w:t>NOTA No. 32 - Préstamos Internos y Externos</w:t>
      </w:r>
    </w:p>
    <w:p w:rsidR="002D306C" w:rsidRDefault="002D306C" w:rsidP="002D306C">
      <w:pPr>
        <w:spacing w:line="276" w:lineRule="auto"/>
        <w:jc w:val="both"/>
        <w:rPr>
          <w:rFonts w:ascii="Arial" w:hAnsi="Arial" w:cs="Arial"/>
          <w:lang w:val="es-CR"/>
        </w:rPr>
      </w:pPr>
    </w:p>
    <w:p w:rsidR="002D306C" w:rsidRPr="00AB6D3F" w:rsidRDefault="002D306C" w:rsidP="002D306C">
      <w:pPr>
        <w:spacing w:line="276" w:lineRule="auto"/>
        <w:jc w:val="both"/>
        <w:rPr>
          <w:rFonts w:ascii="Arial" w:hAnsi="Arial" w:cs="Arial"/>
          <w:lang w:val="es-CR"/>
        </w:rPr>
      </w:pPr>
      <w:r w:rsidRPr="00AB6D3F">
        <w:rPr>
          <w:rFonts w:ascii="Arial" w:hAnsi="Arial" w:cs="Arial"/>
          <w:lang w:val="es-CR"/>
        </w:rPr>
        <w:t xml:space="preserve">No aplica en este momento. </w:t>
      </w:r>
    </w:p>
    <w:p w:rsidR="002D306C" w:rsidRPr="002D306C" w:rsidRDefault="002D306C" w:rsidP="002D306C">
      <w:pPr>
        <w:spacing w:line="276" w:lineRule="auto"/>
        <w:jc w:val="both"/>
        <w:rPr>
          <w:rFonts w:ascii="Arial" w:hAnsi="Arial" w:cs="Arial"/>
          <w:sz w:val="24"/>
          <w:szCs w:val="24"/>
          <w:lang w:val="es-ES"/>
        </w:rPr>
      </w:pPr>
    </w:p>
    <w:bookmarkStart w:id="338" w:name="_MON_1431161249"/>
    <w:bookmarkEnd w:id="338"/>
    <w:bookmarkStart w:id="339" w:name="_MON_1490597077"/>
    <w:bookmarkEnd w:id="339"/>
    <w:p w:rsidR="002D306C" w:rsidRDefault="002D306C" w:rsidP="002D306C">
      <w:pPr>
        <w:jc w:val="both"/>
        <w:rPr>
          <w:rFonts w:ascii="Candara" w:hAnsi="Candara" w:cs="Arial"/>
          <w:color w:val="000000"/>
          <w:sz w:val="24"/>
          <w:szCs w:val="24"/>
        </w:rPr>
      </w:pPr>
      <w:r w:rsidRPr="009164C7">
        <w:rPr>
          <w:rFonts w:ascii="Candara" w:hAnsi="Candara" w:cs="Arial"/>
          <w:color w:val="000000"/>
          <w:sz w:val="24"/>
          <w:szCs w:val="24"/>
        </w:rPr>
        <w:object w:dxaOrig="10187" w:dyaOrig="1758">
          <v:shape id="_x0000_i1104" type="#_x0000_t75" style="width:508.5pt;height:87.75pt" o:ole="">
            <v:imagedata r:id="rId167" o:title=""/>
          </v:shape>
          <o:OLEObject Type="Embed" ProgID="Excel.Sheet.12" ShapeID="_x0000_i1104" DrawAspect="Content" ObjectID="_1554906180" r:id="rId168"/>
        </w:object>
      </w:r>
    </w:p>
    <w:p w:rsidR="002D306C" w:rsidRPr="00B87C7B" w:rsidRDefault="002D306C" w:rsidP="002D306C">
      <w:pPr>
        <w:pStyle w:val="Ttulo3"/>
        <w:jc w:val="both"/>
        <w:rPr>
          <w:color w:val="365F91"/>
        </w:rPr>
      </w:pPr>
      <w:r w:rsidRPr="00B87C7B">
        <w:rPr>
          <w:color w:val="365F91"/>
        </w:rPr>
        <w:t>NOTA No. 33 - Otros</w:t>
      </w:r>
    </w:p>
    <w:p w:rsidR="002D306C" w:rsidRPr="002D306C" w:rsidRDefault="002D306C" w:rsidP="002D306C">
      <w:pPr>
        <w:spacing w:line="276" w:lineRule="auto"/>
        <w:jc w:val="both"/>
        <w:rPr>
          <w:rFonts w:ascii="Candara" w:hAnsi="Candara" w:cs="Arial"/>
          <w:lang w:val="es-ES"/>
        </w:rPr>
      </w:pPr>
    </w:p>
    <w:bookmarkStart w:id="340" w:name="_MON_1466573871"/>
    <w:bookmarkStart w:id="341" w:name="_MON_1490597110"/>
    <w:bookmarkStart w:id="342" w:name="_MON_1458473229"/>
    <w:bookmarkStart w:id="343" w:name="_MON_1498301130"/>
    <w:bookmarkStart w:id="344" w:name="_MON_1431161299"/>
    <w:bookmarkStart w:id="345" w:name="_MON_1506406370"/>
    <w:bookmarkEnd w:id="340"/>
    <w:bookmarkEnd w:id="341"/>
    <w:bookmarkEnd w:id="342"/>
    <w:bookmarkEnd w:id="343"/>
    <w:bookmarkEnd w:id="344"/>
    <w:bookmarkEnd w:id="345"/>
    <w:bookmarkStart w:id="346" w:name="_MON_1474888943"/>
    <w:bookmarkEnd w:id="346"/>
    <w:p w:rsidR="002D306C" w:rsidRDefault="002D306C" w:rsidP="002D306C">
      <w:pPr>
        <w:jc w:val="both"/>
        <w:rPr>
          <w:rFonts w:ascii="Arial" w:hAnsi="Arial" w:cs="Arial"/>
          <w:lang w:val="es-CR"/>
        </w:rPr>
      </w:pPr>
      <w:r w:rsidRPr="009164C7">
        <w:rPr>
          <w:rFonts w:ascii="Candara" w:hAnsi="Candara" w:cs="Arial"/>
          <w:color w:val="000000"/>
          <w:sz w:val="24"/>
          <w:szCs w:val="24"/>
        </w:rPr>
        <w:object w:dxaOrig="10187" w:dyaOrig="1758">
          <v:shape id="_x0000_i1105" type="#_x0000_t75" style="width:508.5pt;height:87.75pt" o:ole="">
            <v:imagedata r:id="rId169" o:title=""/>
          </v:shape>
          <o:OLEObject Type="Embed" ProgID="Excel.Sheet.12" ShapeID="_x0000_i1105" DrawAspect="Content" ObjectID="_1554906181" r:id="rId170"/>
        </w:object>
      </w:r>
      <w:r>
        <w:rPr>
          <w:rFonts w:ascii="Arial" w:hAnsi="Arial" w:cs="Arial"/>
          <w:lang w:val="es-CR"/>
        </w:rPr>
        <w:t>Las variaciones mostradas corresponden a una disminución en otras salidas de efectivo.</w:t>
      </w:r>
    </w:p>
    <w:p w:rsidR="002D306C" w:rsidRDefault="002D306C">
      <w:pPr>
        <w:rPr>
          <w:rFonts w:ascii="Candara" w:hAnsi="Candara" w:cs="Arial"/>
          <w:color w:val="000000"/>
          <w:sz w:val="24"/>
          <w:szCs w:val="24"/>
          <w:lang w:val="es-CR"/>
        </w:rPr>
      </w:pPr>
      <w:r>
        <w:rPr>
          <w:rFonts w:ascii="Candara" w:hAnsi="Candara" w:cs="Arial"/>
          <w:color w:val="000000"/>
          <w:sz w:val="24"/>
          <w:szCs w:val="24"/>
          <w:lang w:val="es-CR"/>
        </w:rPr>
        <w:br w:type="page"/>
      </w:r>
    </w:p>
    <w:p w:rsidR="002D306C" w:rsidRPr="002D306C" w:rsidRDefault="002D306C" w:rsidP="002D306C">
      <w:pPr>
        <w:pStyle w:val="Ttulo1"/>
        <w:jc w:val="center"/>
        <w:rPr>
          <w:sz w:val="32"/>
          <w:szCs w:val="32"/>
          <w:lang w:val="es-ES"/>
        </w:rPr>
      </w:pPr>
      <w:r w:rsidRPr="002D306C">
        <w:rPr>
          <w:sz w:val="32"/>
          <w:szCs w:val="32"/>
          <w:lang w:val="es-ES"/>
        </w:rPr>
        <w:lastRenderedPageBreak/>
        <w:t>ESTADO DE RENDIMIENTOS FINANCIEROS</w:t>
      </w:r>
    </w:p>
    <w:p w:rsidR="002D306C" w:rsidRPr="002D306C" w:rsidRDefault="002D306C" w:rsidP="002D306C">
      <w:pPr>
        <w:jc w:val="both"/>
        <w:rPr>
          <w:lang w:val="es-ES"/>
        </w:rPr>
      </w:pPr>
    </w:p>
    <w:p w:rsidR="002D306C" w:rsidRPr="00CE23EA" w:rsidRDefault="002D306C" w:rsidP="002D306C">
      <w:pPr>
        <w:pStyle w:val="Ttulo2"/>
        <w:jc w:val="both"/>
        <w:rPr>
          <w:color w:val="365F91"/>
        </w:rPr>
      </w:pPr>
      <w:r w:rsidRPr="00CE23EA">
        <w:rPr>
          <w:color w:val="365F91"/>
        </w:rPr>
        <w:t>Ingresos Corrientes</w:t>
      </w:r>
    </w:p>
    <w:p w:rsidR="002D306C" w:rsidRDefault="002D306C" w:rsidP="002D306C">
      <w:pPr>
        <w:pStyle w:val="Ttulo3"/>
        <w:jc w:val="both"/>
        <w:rPr>
          <w:color w:val="365F91"/>
        </w:rPr>
      </w:pPr>
    </w:p>
    <w:p w:rsidR="002D306C" w:rsidRDefault="002D306C" w:rsidP="002D306C">
      <w:pPr>
        <w:pStyle w:val="Ttulo3"/>
        <w:jc w:val="both"/>
        <w:rPr>
          <w:color w:val="365F91"/>
        </w:rPr>
      </w:pPr>
      <w:r w:rsidRPr="00CE23EA">
        <w:rPr>
          <w:color w:val="365F91"/>
        </w:rPr>
        <w:t>NOTA No. 1 - Ingresos Tributarios</w:t>
      </w:r>
    </w:p>
    <w:p w:rsidR="002D306C" w:rsidRPr="000C2768" w:rsidRDefault="002D306C" w:rsidP="002D306C">
      <w:pPr>
        <w:rPr>
          <w:lang w:val="es-ES"/>
        </w:rPr>
      </w:pPr>
    </w:p>
    <w:p w:rsidR="002D306C" w:rsidRDefault="002D306C" w:rsidP="002D306C">
      <w:pPr>
        <w:pStyle w:val="Ttulo6"/>
        <w:jc w:val="both"/>
        <w:rPr>
          <w:sz w:val="24"/>
        </w:rPr>
      </w:pPr>
      <w:r>
        <w:rPr>
          <w:sz w:val="24"/>
        </w:rPr>
        <w:t>INGRESO POR VENTA DE TIMBRES</w:t>
      </w:r>
    </w:p>
    <w:p w:rsidR="002D306C" w:rsidRPr="00410112" w:rsidRDefault="002D306C" w:rsidP="002D306C">
      <w:pPr>
        <w:rPr>
          <w:lang w:val="es-ES"/>
        </w:rPr>
      </w:pPr>
    </w:p>
    <w:p w:rsidR="002D306C" w:rsidRDefault="002D306C" w:rsidP="002D306C">
      <w:pPr>
        <w:jc w:val="both"/>
        <w:rPr>
          <w:rFonts w:ascii="Arial" w:hAnsi="Arial" w:cs="Arial"/>
          <w:lang w:val="es-CR"/>
        </w:rPr>
      </w:pPr>
      <w:r>
        <w:rPr>
          <w:rFonts w:ascii="Arial" w:hAnsi="Arial" w:cs="Arial"/>
          <w:lang w:val="es-CR"/>
        </w:rPr>
        <w:t>Corresponde a la venta de los timbres del Archivo Nacional (en denominaciones de ¢5.00, ¢20.00, ¢100.00 y ¢200.00) por parte del Banco de Costa Rica y que son depositadas en la Cuenta Bancaria de la Junta Administrativa del Archivo Nacional.</w:t>
      </w:r>
    </w:p>
    <w:p w:rsidR="002D306C" w:rsidRPr="002D306C" w:rsidRDefault="002D306C" w:rsidP="002D306C">
      <w:pPr>
        <w:pStyle w:val="Textoindependiente"/>
        <w:rPr>
          <w:rFonts w:ascii="Candara" w:hAnsi="Candara" w:cs="Arial"/>
          <w:lang w:val="es-ES"/>
        </w:rPr>
      </w:pPr>
    </w:p>
    <w:bookmarkStart w:id="347" w:name="_MON_1466572536"/>
    <w:bookmarkStart w:id="348" w:name="_MON_1490595555"/>
    <w:bookmarkStart w:id="349" w:name="_MON_1458471207"/>
    <w:bookmarkStart w:id="350" w:name="_MON_1474887038"/>
    <w:bookmarkStart w:id="351" w:name="_MON_1506405770"/>
    <w:bookmarkEnd w:id="347"/>
    <w:bookmarkEnd w:id="348"/>
    <w:bookmarkEnd w:id="349"/>
    <w:bookmarkEnd w:id="350"/>
    <w:bookmarkEnd w:id="351"/>
    <w:bookmarkStart w:id="352" w:name="_MON_1483875240"/>
    <w:bookmarkEnd w:id="352"/>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06" type="#_x0000_t75" style="width:510pt;height:91.5pt" o:ole="">
            <v:imagedata r:id="rId171" o:title=""/>
          </v:shape>
          <o:OLEObject Type="Embed" ProgID="Excel.Sheet.12" ShapeID="_x0000_i1106" DrawAspect="Content" ObjectID="_1554906182" r:id="rId172"/>
        </w:object>
      </w:r>
    </w:p>
    <w:p w:rsidR="002D306C" w:rsidRDefault="002D306C" w:rsidP="002D306C">
      <w:pPr>
        <w:jc w:val="both"/>
        <w:rPr>
          <w:rFonts w:ascii="Arial" w:hAnsi="Arial" w:cs="Arial"/>
          <w:lang w:val="es-CR"/>
        </w:rPr>
      </w:pPr>
      <w:r>
        <w:rPr>
          <w:rFonts w:ascii="Arial" w:hAnsi="Arial" w:cs="Arial"/>
          <w:lang w:val="es-CR"/>
        </w:rPr>
        <w:t>La disminución corresponde a una venta menor de timbres de Archivo Nacional.</w:t>
      </w:r>
    </w:p>
    <w:p w:rsidR="002D306C" w:rsidRPr="00CE23EA" w:rsidRDefault="002D306C" w:rsidP="002D306C">
      <w:pPr>
        <w:pStyle w:val="Ttulo3"/>
        <w:jc w:val="both"/>
        <w:rPr>
          <w:color w:val="365F91"/>
        </w:rPr>
      </w:pPr>
    </w:p>
    <w:p w:rsidR="002D306C" w:rsidRPr="00CE23EA" w:rsidRDefault="002D306C" w:rsidP="002D306C">
      <w:pPr>
        <w:pStyle w:val="Ttulo3"/>
        <w:jc w:val="both"/>
        <w:rPr>
          <w:color w:val="365F91"/>
        </w:rPr>
      </w:pPr>
      <w:r w:rsidRPr="00CE23EA">
        <w:rPr>
          <w:color w:val="365F91"/>
        </w:rPr>
        <w:t>NOTA No. 2 - Contribuciones Sociales</w:t>
      </w:r>
    </w:p>
    <w:p w:rsidR="002D306C" w:rsidRPr="002D306C" w:rsidRDefault="002D306C" w:rsidP="002D306C">
      <w:pPr>
        <w:spacing w:line="276" w:lineRule="auto"/>
        <w:jc w:val="both"/>
        <w:rPr>
          <w:rFonts w:ascii="Arial" w:hAnsi="Arial" w:cs="Arial"/>
          <w:lang w:val="es-ES"/>
        </w:rPr>
      </w:pPr>
    </w:p>
    <w:p w:rsidR="002D306C" w:rsidRPr="00DF234F" w:rsidRDefault="002D306C" w:rsidP="002D306C">
      <w:pPr>
        <w:spacing w:line="276" w:lineRule="auto"/>
        <w:jc w:val="both"/>
        <w:rPr>
          <w:rFonts w:ascii="Arial" w:hAnsi="Arial" w:cs="Arial"/>
          <w:lang w:val="es-ES"/>
        </w:rPr>
      </w:pPr>
      <w:r w:rsidRPr="00DF234F">
        <w:rPr>
          <w:rFonts w:ascii="Arial" w:hAnsi="Arial" w:cs="Arial"/>
          <w:lang w:val="es-ES"/>
        </w:rPr>
        <w:t>No aplica en este momento.</w:t>
      </w:r>
    </w:p>
    <w:p w:rsidR="002D306C" w:rsidRPr="00DF234F" w:rsidRDefault="002D306C" w:rsidP="002D306C">
      <w:pPr>
        <w:jc w:val="both"/>
        <w:rPr>
          <w:rFonts w:ascii="Candara" w:hAnsi="Candara" w:cs="Arial"/>
          <w:i/>
          <w:lang w:val="es-ES"/>
        </w:rPr>
      </w:pPr>
    </w:p>
    <w:bookmarkStart w:id="353" w:name="_MON_1490595676"/>
    <w:bookmarkEnd w:id="353"/>
    <w:p w:rsidR="002D306C" w:rsidRDefault="002D306C" w:rsidP="002D306C">
      <w:pPr>
        <w:spacing w:line="276" w:lineRule="auto"/>
        <w:jc w:val="both"/>
        <w:rPr>
          <w:rFonts w:ascii="Candara" w:hAnsi="Candara" w:cs="Arial"/>
          <w:i/>
        </w:rPr>
      </w:pPr>
      <w:r>
        <w:rPr>
          <w:rFonts w:ascii="Candara" w:hAnsi="Candara" w:cs="Arial"/>
          <w:color w:val="000000"/>
          <w:sz w:val="24"/>
          <w:szCs w:val="24"/>
        </w:rPr>
        <w:object w:dxaOrig="10187" w:dyaOrig="1835">
          <v:shape id="_x0000_i1107" type="#_x0000_t75" style="width:510pt;height:91.5pt" o:ole="">
            <v:imagedata r:id="rId173" o:title=""/>
          </v:shape>
          <o:OLEObject Type="Embed" ProgID="Excel.Sheet.12" ShapeID="_x0000_i1107" DrawAspect="Content" ObjectID="_1554906183" r:id="rId174"/>
        </w:object>
      </w:r>
    </w:p>
    <w:p w:rsidR="002D306C" w:rsidRDefault="002D306C" w:rsidP="002D306C">
      <w:pPr>
        <w:pStyle w:val="Ttulo3"/>
        <w:jc w:val="both"/>
        <w:rPr>
          <w:color w:val="365F91"/>
        </w:rPr>
      </w:pPr>
      <w:r w:rsidRPr="00CE23EA">
        <w:rPr>
          <w:color w:val="365F91"/>
        </w:rPr>
        <w:t>NOTA No. 3 - Ingresos no Tributarios</w:t>
      </w:r>
    </w:p>
    <w:p w:rsidR="002D306C" w:rsidRPr="00E633C0" w:rsidRDefault="002D306C" w:rsidP="002D306C">
      <w:pPr>
        <w:rPr>
          <w:lang w:val="es-ES"/>
        </w:rPr>
      </w:pPr>
    </w:p>
    <w:p w:rsidR="002D306C" w:rsidRDefault="002D306C" w:rsidP="002D306C">
      <w:pPr>
        <w:pStyle w:val="Textoindependiente"/>
        <w:rPr>
          <w:rFonts w:ascii="Arial" w:hAnsi="Arial" w:cs="Arial"/>
          <w:b/>
          <w:bCs/>
          <w:lang w:val="es-CR"/>
        </w:rPr>
      </w:pPr>
      <w:r>
        <w:rPr>
          <w:rFonts w:ascii="Arial" w:hAnsi="Arial" w:cs="Arial"/>
          <w:b/>
          <w:bCs/>
          <w:lang w:val="es-CR"/>
        </w:rPr>
        <w:t>INGRESO POR SERVICIO DE ENCUADERNACION</w:t>
      </w:r>
    </w:p>
    <w:p w:rsidR="002D306C" w:rsidRPr="000C2768" w:rsidRDefault="002D306C" w:rsidP="002D306C">
      <w:pPr>
        <w:pStyle w:val="Textoindependiente"/>
        <w:rPr>
          <w:rFonts w:ascii="Arial" w:hAnsi="Arial" w:cs="Arial"/>
          <w:sz w:val="20"/>
          <w:lang w:val="es-CR"/>
        </w:rPr>
      </w:pPr>
      <w:r w:rsidRPr="000C2768">
        <w:rPr>
          <w:rFonts w:ascii="Arial" w:hAnsi="Arial" w:cs="Arial"/>
          <w:sz w:val="20"/>
          <w:lang w:val="es-CR"/>
        </w:rPr>
        <w:t>Corresponde a ingresos por concepto de encuadernación de los tomos de protocolos que los abogados depositan en el Archivo Nacional  para su custodia  permanente.</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INGRESO POR SERVICIOS VARIOS</w:t>
      </w:r>
    </w:p>
    <w:p w:rsidR="002D306C" w:rsidRPr="000C2768" w:rsidRDefault="002D306C" w:rsidP="002D306C">
      <w:pPr>
        <w:pStyle w:val="Textoindependiente"/>
        <w:rPr>
          <w:rFonts w:ascii="Arial" w:hAnsi="Arial" w:cs="Arial"/>
          <w:sz w:val="20"/>
          <w:lang w:val="es-CR"/>
        </w:rPr>
      </w:pPr>
      <w:r w:rsidRPr="000C2768">
        <w:rPr>
          <w:rFonts w:ascii="Arial" w:hAnsi="Arial" w:cs="Arial"/>
          <w:sz w:val="20"/>
          <w:lang w:val="es-CR"/>
        </w:rPr>
        <w:t>Corresponde a ingresos por concepto de venta de fotografías, publicaciones, restauración de documentos y venta de cajas de cartón para conservar documentos.</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INGRESOS POR MATRICULAS Y CUOTAS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Este rubro contempla los ingresos producto del Congreso Archivístico, Cursos y Seminarios, entre otros.</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COMISIONES GANADAS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Corresponde a ingresos por concepto de comisión por la retención salarial y envío respectivo al Instituto Nacional de Seguros, por pago de pólizas y préstamos de los funcionarios a esa entidad.</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lastRenderedPageBreak/>
        <w:t>INGRESO POR DIGITALIZACIÓN DE PROTOCOLOS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Comprende los ingresos producto de la digitalización de los tomos de protocolos que los Notarios depositan en el Archivo Nacional.</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COMISIONES EN VENTA DE TIMBRES</w:t>
      </w:r>
    </w:p>
    <w:p w:rsidR="002D306C" w:rsidRDefault="002D306C" w:rsidP="002D306C">
      <w:pPr>
        <w:jc w:val="both"/>
        <w:rPr>
          <w:rFonts w:ascii="Arial" w:hAnsi="Arial" w:cs="Arial"/>
          <w:lang w:val="es-CR"/>
        </w:rPr>
      </w:pPr>
      <w:r>
        <w:rPr>
          <w:rFonts w:ascii="Arial" w:hAnsi="Arial" w:cs="Arial"/>
          <w:lang w:val="es-CR"/>
        </w:rPr>
        <w:t>Corresponde a ingresos por concepto de comisión del 6% en la venta de timbres que se realiza en el cajero del Archivo Nacional.</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INGRESOS  VARIOS NO ESPECIFICOS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Corresponde a ingresos por concepto no considerados en ninguna de las clasificaciones del catálogo de bienes y servicios que vende el Archivo Nacional.</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REINTEGROS EN EFECTIVO</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Corresponde a reintegros hechos por funcionarios o proveedores a la Institución.</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INGRESOS POR CONCESIÓN</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Son los ingresos producto de la concesión dada por el Archivo Nacional. Actualmente el servicio de fotocopiado en el Departamento de Archivo Notarial está dado en concesión a la empresa Cali Centro, S.A.</w:t>
      </w:r>
    </w:p>
    <w:p w:rsidR="002D306C" w:rsidRPr="002D306C" w:rsidRDefault="002D306C" w:rsidP="002D306C">
      <w:pPr>
        <w:pStyle w:val="Textoindependiente"/>
        <w:spacing w:line="276" w:lineRule="auto"/>
        <w:rPr>
          <w:rFonts w:ascii="Arial" w:hAnsi="Arial" w:cs="Arial"/>
          <w:lang w:val="es-ES"/>
        </w:rPr>
      </w:pPr>
    </w:p>
    <w:bookmarkStart w:id="354" w:name="_MON_1483875294"/>
    <w:bookmarkStart w:id="355" w:name="_MON_1466572553"/>
    <w:bookmarkStart w:id="356" w:name="_MON_1490595694"/>
    <w:bookmarkStart w:id="357" w:name="_MON_1458471432"/>
    <w:bookmarkStart w:id="358" w:name="_MON_1498300498"/>
    <w:bookmarkStart w:id="359" w:name="_MON_1474887461"/>
    <w:bookmarkEnd w:id="354"/>
    <w:bookmarkEnd w:id="355"/>
    <w:bookmarkEnd w:id="356"/>
    <w:bookmarkEnd w:id="357"/>
    <w:bookmarkEnd w:id="358"/>
    <w:bookmarkEnd w:id="359"/>
    <w:bookmarkStart w:id="360" w:name="_MON_1506405819"/>
    <w:bookmarkEnd w:id="360"/>
    <w:p w:rsidR="002D306C" w:rsidRDefault="002D306C" w:rsidP="002D306C">
      <w:pPr>
        <w:jc w:val="both"/>
        <w:rPr>
          <w:rFonts w:ascii="Arial" w:hAnsi="Arial" w:cs="Arial"/>
          <w:b/>
          <w:color w:val="000000"/>
        </w:rPr>
      </w:pPr>
      <w:r>
        <w:rPr>
          <w:rFonts w:ascii="Candara" w:hAnsi="Candara" w:cs="Arial"/>
          <w:color w:val="000000"/>
          <w:sz w:val="24"/>
          <w:szCs w:val="24"/>
        </w:rPr>
        <w:object w:dxaOrig="10187" w:dyaOrig="1835">
          <v:shape id="_x0000_i1108" type="#_x0000_t75" style="width:510pt;height:91.5pt" o:ole="">
            <v:imagedata r:id="rId175" o:title=""/>
          </v:shape>
          <o:OLEObject Type="Embed" ProgID="Excel.Sheet.12" ShapeID="_x0000_i1108" DrawAspect="Content" ObjectID="_1554906184" r:id="rId176"/>
        </w:object>
      </w:r>
    </w:p>
    <w:p w:rsidR="002D306C" w:rsidRDefault="002D306C" w:rsidP="002D306C">
      <w:pPr>
        <w:jc w:val="both"/>
        <w:rPr>
          <w:rFonts w:ascii="Arial" w:hAnsi="Arial" w:cs="Arial"/>
          <w:lang w:val="es-CR"/>
        </w:rPr>
      </w:pPr>
      <w:r>
        <w:rPr>
          <w:rFonts w:ascii="Arial" w:hAnsi="Arial" w:cs="Arial"/>
          <w:lang w:val="es-CR"/>
        </w:rPr>
        <w:t>El aumento corresponde por aumento de los precios en las ventas de servicios que da el Archivo Nacional, así como mayores ventas con respecto al año 2015.</w:t>
      </w:r>
    </w:p>
    <w:p w:rsidR="002D306C" w:rsidRPr="00CE23EA" w:rsidRDefault="002D306C" w:rsidP="002D306C">
      <w:pPr>
        <w:pStyle w:val="Ttulo3"/>
        <w:jc w:val="both"/>
        <w:rPr>
          <w:color w:val="365F91"/>
        </w:rPr>
      </w:pPr>
    </w:p>
    <w:p w:rsidR="002D306C" w:rsidRPr="00CE23EA" w:rsidRDefault="002D306C" w:rsidP="002D306C">
      <w:pPr>
        <w:pStyle w:val="Ttulo3"/>
        <w:jc w:val="both"/>
        <w:rPr>
          <w:color w:val="365F91"/>
        </w:rPr>
      </w:pPr>
      <w:r w:rsidRPr="00CE23EA">
        <w:rPr>
          <w:color w:val="365F91"/>
        </w:rPr>
        <w:t>NOTA No. 4 - Transferencias corrientes y capital</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TRANSFERENCIAS CORRIENTES</w:t>
      </w:r>
    </w:p>
    <w:p w:rsidR="002D306C" w:rsidRDefault="002D306C" w:rsidP="002D306C">
      <w:pPr>
        <w:pStyle w:val="Textoindependiente"/>
        <w:rPr>
          <w:rFonts w:ascii="Arial" w:hAnsi="Arial" w:cs="Arial"/>
          <w:b/>
          <w:bCs/>
          <w:lang w:val="es-CR"/>
        </w:rPr>
      </w:pPr>
      <w:r>
        <w:rPr>
          <w:rFonts w:ascii="Arial" w:hAnsi="Arial" w:cs="Arial"/>
          <w:b/>
          <w:bCs/>
          <w:lang w:val="es-CR"/>
        </w:rPr>
        <w:t>TRANSFERENCIA POR ELIMINACIÓN DEL IMPUESTO DE CHEQUES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Ingreso proveniente de la Transferencia que efectúa el Gobierno Central como compensación por la eliminación del Impuesto a las Chequeras, es para uso de la Junta Administrativa del Archivo Nacional.</w:t>
      </w:r>
    </w:p>
    <w:p w:rsidR="002D306C" w:rsidRDefault="002D306C" w:rsidP="002D306C">
      <w:pPr>
        <w:pStyle w:val="Textoindependiente"/>
        <w:rPr>
          <w:rFonts w:ascii="Arial" w:hAnsi="Arial" w:cs="Arial"/>
          <w:b/>
          <w:bCs/>
          <w:lang w:val="es-CR"/>
        </w:rPr>
      </w:pPr>
    </w:p>
    <w:p w:rsidR="002D306C" w:rsidRDefault="002D306C" w:rsidP="002D306C">
      <w:pPr>
        <w:pStyle w:val="Textoindependiente"/>
        <w:rPr>
          <w:rFonts w:ascii="Arial" w:hAnsi="Arial" w:cs="Arial"/>
          <w:b/>
          <w:bCs/>
          <w:lang w:val="es-CR"/>
        </w:rPr>
      </w:pPr>
      <w:r>
        <w:rPr>
          <w:rFonts w:ascii="Arial" w:hAnsi="Arial" w:cs="Arial"/>
          <w:b/>
          <w:bCs/>
          <w:lang w:val="es-CR"/>
        </w:rPr>
        <w:t>TRANSFERENCIAS DE GASTOS ORDINARIOS</w:t>
      </w:r>
    </w:p>
    <w:p w:rsidR="002D306C" w:rsidRPr="00485726" w:rsidRDefault="002D306C" w:rsidP="002D306C">
      <w:pPr>
        <w:pStyle w:val="Textoindependiente"/>
        <w:rPr>
          <w:rFonts w:ascii="Arial" w:hAnsi="Arial" w:cs="Arial"/>
          <w:sz w:val="20"/>
          <w:lang w:val="es-CR"/>
        </w:rPr>
      </w:pPr>
      <w:r w:rsidRPr="00485726">
        <w:rPr>
          <w:rFonts w:ascii="Arial" w:hAnsi="Arial" w:cs="Arial"/>
          <w:sz w:val="20"/>
          <w:lang w:val="es-CR"/>
        </w:rPr>
        <w:t>Son los ingresos provenientes de la transferencia que efectúa el Gobierno Central a la Junta Administrativa del Archivo Nacional para cubrir gastos operativos.</w:t>
      </w:r>
    </w:p>
    <w:p w:rsidR="002D306C" w:rsidRPr="002D306C" w:rsidRDefault="002D306C" w:rsidP="002D306C">
      <w:pPr>
        <w:pStyle w:val="Textoindependiente"/>
        <w:rPr>
          <w:rFonts w:ascii="Candara" w:hAnsi="Candara" w:cs="Arial"/>
          <w:i/>
          <w:lang w:val="es-ES"/>
        </w:rPr>
      </w:pPr>
    </w:p>
    <w:bookmarkStart w:id="361" w:name="_MON_1483875334"/>
    <w:bookmarkStart w:id="362" w:name="_MON_1466572567"/>
    <w:bookmarkStart w:id="363" w:name="_MON_1490595714"/>
    <w:bookmarkStart w:id="364" w:name="_MON_1458471694"/>
    <w:bookmarkStart w:id="365" w:name="_MON_1498300511"/>
    <w:bookmarkStart w:id="366" w:name="_MON_1474887479"/>
    <w:bookmarkEnd w:id="361"/>
    <w:bookmarkEnd w:id="362"/>
    <w:bookmarkEnd w:id="363"/>
    <w:bookmarkEnd w:id="364"/>
    <w:bookmarkEnd w:id="365"/>
    <w:bookmarkEnd w:id="366"/>
    <w:bookmarkStart w:id="367" w:name="_MON_1506405832"/>
    <w:bookmarkEnd w:id="367"/>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09" type="#_x0000_t75" style="width:510pt;height:91.5pt" o:ole="">
            <v:imagedata r:id="rId177" o:title=""/>
          </v:shape>
          <o:OLEObject Type="Embed" ProgID="Excel.Sheet.12" ShapeID="_x0000_i1109" DrawAspect="Content" ObjectID="_1554906185" r:id="rId178"/>
        </w:object>
      </w:r>
    </w:p>
    <w:p w:rsidR="002D306C" w:rsidRPr="00603BC7" w:rsidRDefault="002D306C" w:rsidP="002D306C">
      <w:pPr>
        <w:jc w:val="both"/>
        <w:rPr>
          <w:rFonts w:ascii="Arial" w:hAnsi="Arial" w:cs="Arial"/>
          <w:lang w:val="es-CR"/>
        </w:rPr>
      </w:pPr>
      <w:r w:rsidRPr="00603BC7">
        <w:rPr>
          <w:rFonts w:ascii="Arial" w:hAnsi="Arial" w:cs="Arial"/>
          <w:lang w:val="es-CR"/>
        </w:rPr>
        <w:t>La disminución corresponde a un rebajo en las transferencia</w:t>
      </w:r>
      <w:r>
        <w:rPr>
          <w:rFonts w:ascii="Arial" w:hAnsi="Arial" w:cs="Arial"/>
          <w:lang w:val="es-CR"/>
        </w:rPr>
        <w:t>s</w:t>
      </w:r>
      <w:r w:rsidRPr="00603BC7">
        <w:rPr>
          <w:rFonts w:ascii="Arial" w:hAnsi="Arial" w:cs="Arial"/>
          <w:lang w:val="es-CR"/>
        </w:rPr>
        <w:t xml:space="preserve"> que realiza el Gobierno Central.</w:t>
      </w:r>
    </w:p>
    <w:p w:rsidR="002D306C" w:rsidRDefault="002D306C" w:rsidP="002D306C">
      <w:pPr>
        <w:rPr>
          <w:color w:val="365F91"/>
          <w:sz w:val="24"/>
          <w:lang w:val="es-ES"/>
        </w:rPr>
      </w:pPr>
      <w:r w:rsidRPr="002D306C">
        <w:rPr>
          <w:color w:val="365F91"/>
          <w:lang w:val="es-ES"/>
        </w:rPr>
        <w:br w:type="page"/>
      </w:r>
    </w:p>
    <w:p w:rsidR="002D306C" w:rsidRDefault="002D306C" w:rsidP="002D306C">
      <w:pPr>
        <w:pStyle w:val="Ttulo2"/>
        <w:jc w:val="both"/>
        <w:rPr>
          <w:color w:val="365F91"/>
        </w:rPr>
      </w:pPr>
      <w:r w:rsidRPr="00CE23EA">
        <w:rPr>
          <w:color w:val="365F91"/>
        </w:rPr>
        <w:lastRenderedPageBreak/>
        <w:t>Gastos Corrientes</w:t>
      </w:r>
    </w:p>
    <w:p w:rsidR="002D306C" w:rsidRPr="00485726" w:rsidRDefault="002D306C" w:rsidP="002D306C">
      <w:pPr>
        <w:rPr>
          <w:lang w:val="es-ES"/>
        </w:rPr>
      </w:pPr>
    </w:p>
    <w:p w:rsidR="002D306C" w:rsidRPr="00CE23EA" w:rsidRDefault="002D306C" w:rsidP="002D306C">
      <w:pPr>
        <w:pStyle w:val="Ttulo3"/>
        <w:jc w:val="both"/>
        <w:rPr>
          <w:color w:val="365F91"/>
        </w:rPr>
      </w:pPr>
      <w:r w:rsidRPr="00CE23EA">
        <w:rPr>
          <w:color w:val="365F91"/>
        </w:rPr>
        <w:t>NOTA No. 5 - Remuneraciones</w:t>
      </w:r>
    </w:p>
    <w:p w:rsidR="002D306C" w:rsidRDefault="002D306C" w:rsidP="002D306C">
      <w:pPr>
        <w:jc w:val="both"/>
        <w:rPr>
          <w:rFonts w:ascii="Arial" w:hAnsi="Arial" w:cs="Arial"/>
          <w:lang w:val="es-CR"/>
        </w:rPr>
      </w:pPr>
      <w:bookmarkStart w:id="368" w:name="_Hlk48961705"/>
    </w:p>
    <w:p w:rsidR="002D306C" w:rsidRDefault="002D306C" w:rsidP="002D306C">
      <w:pPr>
        <w:jc w:val="both"/>
        <w:rPr>
          <w:rFonts w:ascii="Arial" w:hAnsi="Arial" w:cs="Arial"/>
          <w:lang w:val="es-CR"/>
        </w:rPr>
      </w:pPr>
      <w:r>
        <w:rPr>
          <w:rFonts w:ascii="Arial" w:hAnsi="Arial" w:cs="Arial"/>
          <w:lang w:val="es-CR"/>
        </w:rPr>
        <w:t>Corresponde al gasto de los salarios más los pluses correspondientes así como las cargas sociales derivadas por este concepto.</w:t>
      </w:r>
    </w:p>
    <w:p w:rsidR="002D306C" w:rsidRPr="002D306C" w:rsidRDefault="002D306C" w:rsidP="002D306C">
      <w:pPr>
        <w:pStyle w:val="Textoindependiente"/>
        <w:rPr>
          <w:rFonts w:ascii="Candara" w:hAnsi="Candara" w:cs="Arial"/>
          <w:i/>
          <w:lang w:val="es-ES"/>
        </w:rPr>
      </w:pPr>
    </w:p>
    <w:bookmarkStart w:id="369" w:name="_MON_1483875369"/>
    <w:bookmarkStart w:id="370" w:name="_MON_1466572582"/>
    <w:bookmarkStart w:id="371" w:name="_MON_1490595740"/>
    <w:bookmarkStart w:id="372" w:name="_MON_1458471730"/>
    <w:bookmarkStart w:id="373" w:name="_MON_1498300525"/>
    <w:bookmarkStart w:id="374" w:name="_MON_1474887497"/>
    <w:bookmarkEnd w:id="369"/>
    <w:bookmarkEnd w:id="370"/>
    <w:bookmarkEnd w:id="371"/>
    <w:bookmarkEnd w:id="372"/>
    <w:bookmarkEnd w:id="373"/>
    <w:bookmarkEnd w:id="374"/>
    <w:bookmarkStart w:id="375" w:name="_MON_1506405851"/>
    <w:bookmarkEnd w:id="375"/>
    <w:p w:rsidR="002D306C" w:rsidRDefault="002D306C" w:rsidP="002D306C">
      <w:pPr>
        <w:jc w:val="both"/>
        <w:rPr>
          <w:rFonts w:ascii="Candara" w:hAnsi="Candara" w:cs="Arial"/>
          <w:b/>
          <w:color w:val="000000"/>
          <w:sz w:val="24"/>
          <w:szCs w:val="24"/>
          <w:u w:val="single"/>
        </w:rPr>
      </w:pPr>
      <w:r>
        <w:rPr>
          <w:rFonts w:ascii="Candara" w:hAnsi="Candara" w:cs="Arial"/>
          <w:color w:val="000000"/>
          <w:sz w:val="24"/>
          <w:szCs w:val="24"/>
        </w:rPr>
        <w:object w:dxaOrig="10187" w:dyaOrig="1835">
          <v:shape id="_x0000_i1110" type="#_x0000_t75" style="width:510pt;height:91.5pt" o:ole="">
            <v:imagedata r:id="rId179" o:title=""/>
          </v:shape>
          <o:OLEObject Type="Embed" ProgID="Excel.Sheet.12" ShapeID="_x0000_i1110" DrawAspect="Content" ObjectID="_1554906186" r:id="rId180"/>
        </w:object>
      </w:r>
    </w:p>
    <w:p w:rsidR="002D306C" w:rsidRDefault="002D306C" w:rsidP="002D306C">
      <w:pPr>
        <w:jc w:val="both"/>
        <w:rPr>
          <w:rFonts w:ascii="Arial" w:hAnsi="Arial" w:cs="Arial"/>
          <w:lang w:val="es-CR"/>
        </w:rPr>
      </w:pPr>
      <w:r>
        <w:rPr>
          <w:rFonts w:ascii="Arial" w:hAnsi="Arial" w:cs="Arial"/>
          <w:lang w:val="es-CR"/>
        </w:rPr>
        <w:t>El aumento corresponde a ajustes de salario por reasignación, puntos de carrera profesional entre otros.</w:t>
      </w:r>
    </w:p>
    <w:p w:rsidR="002D306C" w:rsidRPr="002D306C" w:rsidRDefault="002D306C" w:rsidP="002D306C">
      <w:pPr>
        <w:jc w:val="both"/>
        <w:rPr>
          <w:rFonts w:ascii="Candara" w:hAnsi="Candara" w:cs="Arial"/>
          <w:i/>
          <w:lang w:val="es-ES"/>
        </w:rPr>
      </w:pPr>
    </w:p>
    <w:bookmarkEnd w:id="368"/>
    <w:p w:rsidR="002D306C" w:rsidRDefault="002D306C" w:rsidP="002D306C">
      <w:pPr>
        <w:pStyle w:val="Ttulo3"/>
        <w:jc w:val="both"/>
        <w:rPr>
          <w:color w:val="365F91"/>
        </w:rPr>
      </w:pPr>
      <w:r w:rsidRPr="00CE23EA">
        <w:rPr>
          <w:color w:val="365F91"/>
        </w:rPr>
        <w:t xml:space="preserve">NOTA No. 6 </w:t>
      </w:r>
      <w:r>
        <w:rPr>
          <w:color w:val="365F91"/>
        </w:rPr>
        <w:t>–</w:t>
      </w:r>
      <w:r w:rsidRPr="00CE23EA">
        <w:rPr>
          <w:color w:val="365F91"/>
        </w:rPr>
        <w:t xml:space="preserve"> Servicios</w:t>
      </w:r>
    </w:p>
    <w:p w:rsidR="002D306C" w:rsidRPr="00410112" w:rsidRDefault="002D306C" w:rsidP="002D306C">
      <w:pPr>
        <w:rPr>
          <w:lang w:val="es-ES"/>
        </w:rPr>
      </w:pPr>
    </w:p>
    <w:p w:rsidR="002D306C" w:rsidRDefault="002D306C" w:rsidP="002D306C">
      <w:pPr>
        <w:autoSpaceDE w:val="0"/>
        <w:autoSpaceDN w:val="0"/>
        <w:adjustRightInd w:val="0"/>
        <w:jc w:val="both"/>
        <w:rPr>
          <w:rFonts w:ascii="Arial" w:hAnsi="Arial" w:cs="Arial"/>
          <w:lang w:val="es-CR"/>
        </w:rPr>
      </w:pPr>
      <w:bookmarkStart w:id="376" w:name="s2"/>
      <w:bookmarkEnd w:id="376"/>
      <w:r>
        <w:rPr>
          <w:rFonts w:ascii="Arial" w:hAnsi="Arial" w:cs="Arial"/>
          <w:lang w:val="es-CR"/>
        </w:rPr>
        <w:t>Son los pagos de contratos de mantenimiento de edificio y equipos y pago de servicios públicos. Así como la contratación de otros servicios necesarios para la buena gestión institucional.</w:t>
      </w:r>
    </w:p>
    <w:p w:rsidR="002D306C" w:rsidRPr="002D306C" w:rsidRDefault="002D306C" w:rsidP="002D306C">
      <w:pPr>
        <w:pStyle w:val="Textoindependiente"/>
        <w:rPr>
          <w:rFonts w:ascii="Candara" w:hAnsi="Candara" w:cs="Arial"/>
          <w:i/>
          <w:lang w:val="es-ES"/>
        </w:rPr>
      </w:pPr>
    </w:p>
    <w:bookmarkStart w:id="377" w:name="_MON_1483875408"/>
    <w:bookmarkStart w:id="378" w:name="_MON_1466572595"/>
    <w:bookmarkStart w:id="379" w:name="_MON_1490595766"/>
    <w:bookmarkStart w:id="380" w:name="_MON_1458471779"/>
    <w:bookmarkStart w:id="381" w:name="_MON_1498300539"/>
    <w:bookmarkStart w:id="382" w:name="_MON_1474887513"/>
    <w:bookmarkEnd w:id="377"/>
    <w:bookmarkEnd w:id="378"/>
    <w:bookmarkEnd w:id="379"/>
    <w:bookmarkEnd w:id="380"/>
    <w:bookmarkEnd w:id="381"/>
    <w:bookmarkEnd w:id="382"/>
    <w:bookmarkStart w:id="383" w:name="_MON_1506405866"/>
    <w:bookmarkEnd w:id="383"/>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11" type="#_x0000_t75" style="width:510pt;height:91.5pt" o:ole="">
            <v:imagedata r:id="rId181" o:title=""/>
          </v:shape>
          <o:OLEObject Type="Embed" ProgID="Excel.Sheet.12" ShapeID="_x0000_i1111" DrawAspect="Content" ObjectID="_1554906187" r:id="rId182"/>
        </w:object>
      </w:r>
    </w:p>
    <w:p w:rsidR="002D306C" w:rsidRDefault="002D306C" w:rsidP="002D306C">
      <w:pPr>
        <w:jc w:val="both"/>
        <w:rPr>
          <w:rFonts w:ascii="Arial" w:hAnsi="Arial" w:cs="Arial"/>
          <w:lang w:val="es-CR"/>
        </w:rPr>
      </w:pPr>
      <w:r>
        <w:rPr>
          <w:rFonts w:ascii="Arial" w:hAnsi="Arial" w:cs="Arial"/>
          <w:lang w:val="es-CR"/>
        </w:rPr>
        <w:t>La disminución corresponde a un menor consumo en los servicios básicos y mantemientos al edificio.</w:t>
      </w:r>
    </w:p>
    <w:p w:rsidR="002D306C" w:rsidRDefault="002D306C" w:rsidP="002D306C">
      <w:pPr>
        <w:jc w:val="both"/>
        <w:rPr>
          <w:b/>
          <w:bCs/>
          <w:color w:val="365F91"/>
          <w:sz w:val="24"/>
          <w:lang w:val="es-ES"/>
        </w:rPr>
      </w:pPr>
    </w:p>
    <w:p w:rsidR="002D306C" w:rsidRDefault="002D306C" w:rsidP="002D306C">
      <w:pPr>
        <w:jc w:val="both"/>
        <w:rPr>
          <w:b/>
          <w:bCs/>
          <w:color w:val="365F91"/>
          <w:sz w:val="24"/>
          <w:lang w:val="es-ES"/>
        </w:rPr>
      </w:pPr>
      <w:r w:rsidRPr="00485726">
        <w:rPr>
          <w:b/>
          <w:bCs/>
          <w:color w:val="365F91"/>
          <w:sz w:val="24"/>
          <w:lang w:val="es-ES"/>
        </w:rPr>
        <w:t>NOTA No. 7 - Materiales y suministros</w:t>
      </w:r>
    </w:p>
    <w:p w:rsidR="002D306C" w:rsidRPr="00485726" w:rsidRDefault="002D306C" w:rsidP="002D306C">
      <w:pPr>
        <w:jc w:val="both"/>
        <w:rPr>
          <w:b/>
          <w:bCs/>
          <w:color w:val="365F91"/>
          <w:sz w:val="24"/>
          <w:lang w:val="es-ES"/>
        </w:rPr>
      </w:pPr>
    </w:p>
    <w:p w:rsidR="002D306C" w:rsidRPr="00485726" w:rsidRDefault="002D306C" w:rsidP="002D306C">
      <w:pPr>
        <w:pStyle w:val="Textoindependiente"/>
        <w:autoSpaceDE w:val="0"/>
        <w:autoSpaceDN w:val="0"/>
        <w:adjustRightInd w:val="0"/>
        <w:rPr>
          <w:rFonts w:ascii="Arial" w:hAnsi="Arial" w:cs="Arial"/>
          <w:sz w:val="20"/>
          <w:lang w:val="es-CR"/>
        </w:rPr>
      </w:pPr>
      <w:r w:rsidRPr="00485726">
        <w:rPr>
          <w:rFonts w:ascii="Arial" w:hAnsi="Arial" w:cs="Arial"/>
          <w:sz w:val="20"/>
          <w:lang w:val="es-CR"/>
        </w:rPr>
        <w:t>Corresponde a aquellos materiales y suministros necesarios para la óptima operación institucional por ejemplo: papelería, útiles de oficina, textiles, combustibles.</w:t>
      </w:r>
    </w:p>
    <w:p w:rsidR="002D306C" w:rsidRPr="002D306C" w:rsidRDefault="002D306C" w:rsidP="002D306C">
      <w:pPr>
        <w:pStyle w:val="Textoindependiente"/>
        <w:rPr>
          <w:rFonts w:ascii="Candara" w:hAnsi="Candara" w:cs="Arial"/>
          <w:i/>
          <w:lang w:val="es-ES"/>
        </w:rPr>
      </w:pPr>
    </w:p>
    <w:bookmarkStart w:id="384" w:name="_MON_1483875454"/>
    <w:bookmarkStart w:id="385" w:name="_MON_1466572604"/>
    <w:bookmarkStart w:id="386" w:name="_MON_1490595787"/>
    <w:bookmarkStart w:id="387" w:name="_MON_1458471829"/>
    <w:bookmarkStart w:id="388" w:name="_MON_1498300552"/>
    <w:bookmarkStart w:id="389" w:name="_MON_1474887529"/>
    <w:bookmarkEnd w:id="384"/>
    <w:bookmarkEnd w:id="385"/>
    <w:bookmarkEnd w:id="386"/>
    <w:bookmarkEnd w:id="387"/>
    <w:bookmarkEnd w:id="388"/>
    <w:bookmarkEnd w:id="389"/>
    <w:bookmarkStart w:id="390" w:name="_MON_1506405883"/>
    <w:bookmarkEnd w:id="390"/>
    <w:p w:rsidR="002D306C" w:rsidRDefault="002D306C" w:rsidP="002D306C">
      <w:pPr>
        <w:jc w:val="both"/>
        <w:rPr>
          <w:rFonts w:ascii="Arial" w:hAnsi="Arial" w:cs="Arial"/>
          <w:lang w:val="es-CR"/>
        </w:rPr>
      </w:pPr>
      <w:r>
        <w:rPr>
          <w:rFonts w:ascii="Candara" w:hAnsi="Candara" w:cs="Arial"/>
          <w:color w:val="000000"/>
          <w:sz w:val="24"/>
          <w:szCs w:val="24"/>
        </w:rPr>
        <w:object w:dxaOrig="10187" w:dyaOrig="1835">
          <v:shape id="_x0000_i1112" type="#_x0000_t75" style="width:510pt;height:91.5pt" o:ole="">
            <v:imagedata r:id="rId183" o:title=""/>
          </v:shape>
          <o:OLEObject Type="Embed" ProgID="Excel.Sheet.12" ShapeID="_x0000_i1112" DrawAspect="Content" ObjectID="_1554906188" r:id="rId184"/>
        </w:object>
      </w:r>
    </w:p>
    <w:p w:rsidR="002D306C" w:rsidRDefault="002D306C" w:rsidP="002D306C">
      <w:pPr>
        <w:jc w:val="both"/>
        <w:rPr>
          <w:rFonts w:ascii="Arial" w:hAnsi="Arial" w:cs="Arial"/>
          <w:lang w:val="es-CR"/>
        </w:rPr>
      </w:pPr>
      <w:r>
        <w:rPr>
          <w:rFonts w:ascii="Arial" w:hAnsi="Arial" w:cs="Arial"/>
          <w:lang w:val="es-CR"/>
        </w:rPr>
        <w:t>La disminución corresponde a un menor consumo en materiales y suministros.</w:t>
      </w:r>
    </w:p>
    <w:p w:rsidR="002D306C" w:rsidRDefault="002D306C" w:rsidP="002D306C">
      <w:pPr>
        <w:jc w:val="both"/>
        <w:rPr>
          <w:b/>
          <w:bCs/>
          <w:color w:val="365F91"/>
          <w:sz w:val="24"/>
          <w:lang w:val="es-ES"/>
        </w:rPr>
      </w:pPr>
    </w:p>
    <w:p w:rsidR="002D306C" w:rsidRDefault="002D306C" w:rsidP="002D306C">
      <w:pPr>
        <w:rPr>
          <w:b/>
          <w:bCs/>
          <w:color w:val="365F91"/>
          <w:sz w:val="24"/>
          <w:lang w:val="es-ES"/>
        </w:rPr>
      </w:pPr>
      <w:r>
        <w:rPr>
          <w:b/>
          <w:bCs/>
          <w:color w:val="365F91"/>
          <w:sz w:val="24"/>
          <w:lang w:val="es-ES"/>
        </w:rPr>
        <w:br w:type="page"/>
      </w:r>
    </w:p>
    <w:p w:rsidR="002D306C" w:rsidRPr="002D306C" w:rsidRDefault="002D306C" w:rsidP="002D306C">
      <w:pPr>
        <w:jc w:val="both"/>
        <w:rPr>
          <w:color w:val="365F91"/>
          <w:lang w:val="es-ES"/>
        </w:rPr>
      </w:pPr>
      <w:r w:rsidRPr="00485726">
        <w:rPr>
          <w:b/>
          <w:bCs/>
          <w:color w:val="365F91"/>
          <w:sz w:val="24"/>
          <w:lang w:val="es-ES"/>
        </w:rPr>
        <w:lastRenderedPageBreak/>
        <w:t>NOTA No. 8 - Intereses y comisiones</w:t>
      </w:r>
    </w:p>
    <w:p w:rsidR="002D306C" w:rsidRPr="002D306C" w:rsidRDefault="002D306C" w:rsidP="002D306C">
      <w:pPr>
        <w:pStyle w:val="Textoindependiente"/>
        <w:spacing w:line="276" w:lineRule="auto"/>
        <w:rPr>
          <w:rFonts w:ascii="Arial" w:hAnsi="Arial" w:cs="Arial"/>
          <w:sz w:val="20"/>
          <w:lang w:val="es-ES"/>
        </w:rPr>
      </w:pPr>
    </w:p>
    <w:p w:rsidR="002D306C" w:rsidRPr="00DF234F" w:rsidRDefault="002D306C" w:rsidP="002D306C">
      <w:pPr>
        <w:pStyle w:val="Textoindependiente"/>
        <w:spacing w:line="276" w:lineRule="auto"/>
        <w:rPr>
          <w:rFonts w:ascii="Arial" w:hAnsi="Arial" w:cs="Arial"/>
          <w:sz w:val="20"/>
          <w:lang w:val="es-ES"/>
        </w:rPr>
      </w:pPr>
      <w:r w:rsidRPr="00DF234F">
        <w:rPr>
          <w:rFonts w:ascii="Arial" w:hAnsi="Arial" w:cs="Arial"/>
          <w:sz w:val="20"/>
          <w:lang w:val="es-ES"/>
        </w:rPr>
        <w:t>No aplica en este momento.</w:t>
      </w:r>
    </w:p>
    <w:p w:rsidR="002D306C" w:rsidRPr="00DF234F" w:rsidRDefault="002D306C" w:rsidP="002D306C">
      <w:pPr>
        <w:pStyle w:val="Textoindependiente"/>
        <w:spacing w:line="276" w:lineRule="auto"/>
        <w:rPr>
          <w:rFonts w:ascii="Arial" w:hAnsi="Arial" w:cs="Arial"/>
          <w:lang w:val="es-ES"/>
        </w:rPr>
      </w:pPr>
    </w:p>
    <w:bookmarkStart w:id="391" w:name="_MON_1490595811"/>
    <w:bookmarkEnd w:id="391"/>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13" type="#_x0000_t75" style="width:510pt;height:91.5pt" o:ole="">
            <v:imagedata r:id="rId185" o:title=""/>
          </v:shape>
          <o:OLEObject Type="Embed" ProgID="Excel.Sheet.12" ShapeID="_x0000_i1113" DrawAspect="Content" ObjectID="_1554906189" r:id="rId186"/>
        </w:object>
      </w:r>
    </w:p>
    <w:p w:rsidR="002D306C" w:rsidRPr="00485726" w:rsidRDefault="002D306C" w:rsidP="002D306C">
      <w:pPr>
        <w:jc w:val="both"/>
        <w:rPr>
          <w:b/>
          <w:bCs/>
          <w:color w:val="365F91"/>
          <w:sz w:val="24"/>
          <w:lang w:val="es-ES"/>
        </w:rPr>
      </w:pPr>
      <w:r w:rsidRPr="00485726">
        <w:rPr>
          <w:b/>
          <w:bCs/>
          <w:color w:val="365F91"/>
          <w:sz w:val="24"/>
          <w:lang w:val="es-ES"/>
        </w:rPr>
        <w:t>NOTA No. 9 - Transferencias corrientes y capital</w:t>
      </w:r>
    </w:p>
    <w:p w:rsidR="002D306C" w:rsidRPr="002D306C" w:rsidRDefault="002D306C" w:rsidP="002D306C">
      <w:pPr>
        <w:ind w:right="50"/>
        <w:jc w:val="both"/>
        <w:rPr>
          <w:rFonts w:ascii="Arial" w:hAnsi="Arial" w:cs="Arial"/>
          <w:lang w:val="es-ES"/>
        </w:rPr>
      </w:pPr>
    </w:p>
    <w:p w:rsidR="002D306C" w:rsidRPr="00DF234F" w:rsidRDefault="002D306C" w:rsidP="002D306C">
      <w:pPr>
        <w:ind w:right="50"/>
        <w:jc w:val="both"/>
        <w:rPr>
          <w:rFonts w:ascii="Arial" w:hAnsi="Arial" w:cs="Arial"/>
          <w:lang w:val="es-ES"/>
        </w:rPr>
      </w:pPr>
      <w:r w:rsidRPr="00DF234F">
        <w:rPr>
          <w:rFonts w:ascii="Arial" w:hAnsi="Arial" w:cs="Arial"/>
          <w:lang w:val="es-ES"/>
        </w:rPr>
        <w:t xml:space="preserve">Son erogaciones por concepto de pago de prestaciones legales y transferencias a organismos internacionales. </w:t>
      </w:r>
    </w:p>
    <w:p w:rsidR="002D306C" w:rsidRPr="00DF234F" w:rsidRDefault="002D306C" w:rsidP="002D306C">
      <w:pPr>
        <w:pStyle w:val="Textoindependiente"/>
        <w:rPr>
          <w:rFonts w:ascii="Candara" w:hAnsi="Candara" w:cs="Arial"/>
          <w:i/>
          <w:lang w:val="es-ES"/>
        </w:rPr>
      </w:pPr>
    </w:p>
    <w:bookmarkStart w:id="392" w:name="_MON_1483875501"/>
    <w:bookmarkStart w:id="393" w:name="_MON_1466572618"/>
    <w:bookmarkStart w:id="394" w:name="_MON_1490595831"/>
    <w:bookmarkStart w:id="395" w:name="_MON_1458471907"/>
    <w:bookmarkStart w:id="396" w:name="_MON_1498300566"/>
    <w:bookmarkStart w:id="397" w:name="_MON_1474887558"/>
    <w:bookmarkEnd w:id="392"/>
    <w:bookmarkEnd w:id="393"/>
    <w:bookmarkEnd w:id="394"/>
    <w:bookmarkEnd w:id="395"/>
    <w:bookmarkEnd w:id="396"/>
    <w:bookmarkEnd w:id="397"/>
    <w:bookmarkStart w:id="398" w:name="_MON_1506405903"/>
    <w:bookmarkEnd w:id="398"/>
    <w:p w:rsidR="002D306C" w:rsidRDefault="002D306C" w:rsidP="002D306C">
      <w:pPr>
        <w:jc w:val="both"/>
        <w:rPr>
          <w:rFonts w:ascii="Candara" w:hAnsi="Candara" w:cs="Arial"/>
          <w:b/>
          <w:color w:val="000000"/>
          <w:sz w:val="24"/>
          <w:szCs w:val="24"/>
          <w:u w:val="single"/>
        </w:rPr>
      </w:pPr>
      <w:r>
        <w:rPr>
          <w:rFonts w:ascii="Candara" w:hAnsi="Candara" w:cs="Arial"/>
          <w:color w:val="000000"/>
          <w:sz w:val="24"/>
          <w:szCs w:val="24"/>
        </w:rPr>
        <w:object w:dxaOrig="10187" w:dyaOrig="1835">
          <v:shape id="_x0000_i1114" type="#_x0000_t75" style="width:510pt;height:91.5pt" o:ole="">
            <v:imagedata r:id="rId187" o:title=""/>
          </v:shape>
          <o:OLEObject Type="Embed" ProgID="Excel.Sheet.12" ShapeID="_x0000_i1114" DrawAspect="Content" ObjectID="_1554906190" r:id="rId188"/>
        </w:object>
      </w:r>
    </w:p>
    <w:p w:rsidR="002D306C" w:rsidRDefault="002D306C" w:rsidP="002D306C">
      <w:pPr>
        <w:jc w:val="both"/>
        <w:rPr>
          <w:rFonts w:ascii="Arial" w:hAnsi="Arial" w:cs="Arial"/>
          <w:lang w:val="es-CR"/>
        </w:rPr>
      </w:pPr>
      <w:r>
        <w:rPr>
          <w:rFonts w:ascii="Arial" w:hAnsi="Arial" w:cs="Arial"/>
          <w:lang w:val="es-CR"/>
        </w:rPr>
        <w:t>Las variaciones mostradas corresponden a un menor pago en prestaciones legales con respecto al año 2015.</w:t>
      </w:r>
    </w:p>
    <w:p w:rsidR="002D306C" w:rsidRPr="002D306C" w:rsidRDefault="002D306C" w:rsidP="002D306C">
      <w:pPr>
        <w:spacing w:line="276" w:lineRule="auto"/>
        <w:jc w:val="both"/>
        <w:rPr>
          <w:rFonts w:ascii="Cambria" w:hAnsi="Cambria"/>
          <w:b/>
          <w:bCs/>
          <w:color w:val="365F91"/>
          <w:lang w:val="es-ES"/>
        </w:rPr>
      </w:pPr>
    </w:p>
    <w:p w:rsidR="002D306C" w:rsidRPr="00CE23EA" w:rsidRDefault="002D306C" w:rsidP="002D306C">
      <w:pPr>
        <w:pStyle w:val="Ttulo3"/>
        <w:jc w:val="both"/>
        <w:rPr>
          <w:color w:val="365F91"/>
        </w:rPr>
      </w:pPr>
      <w:r w:rsidRPr="00CE23EA">
        <w:rPr>
          <w:color w:val="365F91"/>
        </w:rPr>
        <w:t>NOTA No. 10 - Cuentas Especiales</w:t>
      </w:r>
    </w:p>
    <w:p w:rsidR="002D306C" w:rsidRDefault="002D306C" w:rsidP="002D306C">
      <w:pPr>
        <w:pStyle w:val="Textoindependiente"/>
        <w:spacing w:line="276" w:lineRule="auto"/>
        <w:rPr>
          <w:rFonts w:ascii="Arial" w:hAnsi="Arial" w:cs="Arial"/>
          <w:sz w:val="20"/>
          <w:lang w:val="es-CR"/>
        </w:rPr>
      </w:pPr>
    </w:p>
    <w:p w:rsidR="002D306C" w:rsidRPr="002D306C" w:rsidRDefault="002D306C" w:rsidP="002D306C">
      <w:pPr>
        <w:pStyle w:val="Textoindependiente"/>
        <w:spacing w:line="276" w:lineRule="auto"/>
        <w:rPr>
          <w:rFonts w:ascii="Arial" w:hAnsi="Arial" w:cs="Arial"/>
          <w:lang w:val="es-ES"/>
        </w:rPr>
      </w:pPr>
      <w:r w:rsidRPr="00485726">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399" w:name="_MON_1490596093"/>
    <w:bookmarkEnd w:id="399"/>
    <w:p w:rsidR="002D306C" w:rsidRDefault="002D306C" w:rsidP="002D306C">
      <w:pPr>
        <w:jc w:val="both"/>
        <w:rPr>
          <w:rFonts w:ascii="Arial" w:hAnsi="Arial" w:cs="Arial"/>
        </w:rPr>
      </w:pPr>
      <w:r>
        <w:rPr>
          <w:rFonts w:ascii="Candara" w:hAnsi="Candara" w:cs="Arial"/>
          <w:color w:val="000000"/>
          <w:sz w:val="24"/>
          <w:szCs w:val="24"/>
        </w:rPr>
        <w:object w:dxaOrig="10187" w:dyaOrig="1835">
          <v:shape id="_x0000_i1115" type="#_x0000_t75" style="width:510pt;height:91.5pt" o:ole="">
            <v:imagedata r:id="rId189" o:title=""/>
          </v:shape>
          <o:OLEObject Type="Embed" ProgID="Excel.Sheet.12" ShapeID="_x0000_i1115" DrawAspect="Content" ObjectID="_1554906191" r:id="rId190"/>
        </w:object>
      </w:r>
    </w:p>
    <w:p w:rsidR="002D306C" w:rsidRDefault="002D306C" w:rsidP="002D306C">
      <w:pPr>
        <w:rPr>
          <w:b/>
          <w:sz w:val="24"/>
        </w:rPr>
      </w:pPr>
      <w:r>
        <w:br w:type="page"/>
      </w:r>
    </w:p>
    <w:p w:rsidR="002D306C" w:rsidRPr="002D306C" w:rsidRDefault="002D306C" w:rsidP="002D306C">
      <w:pPr>
        <w:pStyle w:val="Ttulo1"/>
        <w:rPr>
          <w:lang w:val="es-ES"/>
        </w:rPr>
      </w:pPr>
      <w:r w:rsidRPr="002D306C">
        <w:rPr>
          <w:lang w:val="es-ES"/>
        </w:rPr>
        <w:lastRenderedPageBreak/>
        <w:t>Otros Ingresos y Gastos</w:t>
      </w:r>
    </w:p>
    <w:p w:rsidR="002D306C" w:rsidRDefault="002D306C" w:rsidP="002D306C">
      <w:pPr>
        <w:pStyle w:val="Ttulo2"/>
        <w:jc w:val="both"/>
        <w:rPr>
          <w:color w:val="365F91"/>
        </w:rPr>
      </w:pPr>
    </w:p>
    <w:p w:rsidR="002D306C" w:rsidRPr="00CE23EA" w:rsidRDefault="002D306C" w:rsidP="002D306C">
      <w:pPr>
        <w:pStyle w:val="Ttulo2"/>
        <w:jc w:val="both"/>
        <w:rPr>
          <w:color w:val="365F91"/>
        </w:rPr>
      </w:pPr>
      <w:r w:rsidRPr="00CE23EA">
        <w:rPr>
          <w:color w:val="365F91"/>
        </w:rPr>
        <w:t>Otros Ingresos</w:t>
      </w:r>
    </w:p>
    <w:p w:rsidR="002D306C" w:rsidRPr="00CE23EA" w:rsidRDefault="002D306C" w:rsidP="002D306C">
      <w:pPr>
        <w:pStyle w:val="Ttulo3"/>
        <w:jc w:val="both"/>
        <w:rPr>
          <w:color w:val="365F91"/>
        </w:rPr>
      </w:pPr>
      <w:r w:rsidRPr="00CE23EA">
        <w:rPr>
          <w:color w:val="365F91"/>
        </w:rPr>
        <w:t>NOTA No. 11 - Ganancias en venta de activos fijos</w:t>
      </w:r>
    </w:p>
    <w:p w:rsidR="002D306C" w:rsidRDefault="002D306C" w:rsidP="002D306C">
      <w:pPr>
        <w:pStyle w:val="Textoindependiente"/>
        <w:spacing w:line="276" w:lineRule="auto"/>
        <w:rPr>
          <w:rFonts w:ascii="Arial" w:hAnsi="Arial" w:cs="Arial"/>
          <w:sz w:val="20"/>
          <w:lang w:val="es-CR"/>
        </w:rPr>
      </w:pPr>
    </w:p>
    <w:p w:rsidR="002D306C" w:rsidRPr="00485726" w:rsidRDefault="002D306C" w:rsidP="002D306C">
      <w:pPr>
        <w:pStyle w:val="Textoindependiente"/>
        <w:spacing w:line="276" w:lineRule="auto"/>
        <w:rPr>
          <w:rFonts w:ascii="Arial" w:hAnsi="Arial" w:cs="Arial"/>
          <w:sz w:val="20"/>
          <w:lang w:val="es-CR"/>
        </w:rPr>
      </w:pPr>
      <w:r w:rsidRPr="00485726">
        <w:rPr>
          <w:rFonts w:ascii="Arial" w:hAnsi="Arial" w:cs="Arial"/>
          <w:sz w:val="20"/>
          <w:lang w:val="es-CR"/>
        </w:rPr>
        <w:t>No aplica en este momento.</w:t>
      </w:r>
    </w:p>
    <w:p w:rsidR="002D306C" w:rsidRPr="002D306C" w:rsidRDefault="002D306C" w:rsidP="002D306C">
      <w:pPr>
        <w:pStyle w:val="Textoindependiente"/>
        <w:spacing w:line="276" w:lineRule="auto"/>
        <w:rPr>
          <w:rFonts w:ascii="Arial" w:hAnsi="Arial" w:cs="Arial"/>
          <w:lang w:val="es-ES"/>
        </w:rPr>
      </w:pPr>
    </w:p>
    <w:bookmarkStart w:id="400" w:name="_MON_1490596102"/>
    <w:bookmarkEnd w:id="400"/>
    <w:p w:rsidR="002D306C" w:rsidRDefault="002D306C" w:rsidP="002D306C">
      <w:pPr>
        <w:jc w:val="both"/>
        <w:rPr>
          <w:rFonts w:ascii="Arial" w:hAnsi="Arial" w:cs="Arial"/>
        </w:rPr>
      </w:pPr>
      <w:r>
        <w:rPr>
          <w:rFonts w:ascii="Candara" w:hAnsi="Candara" w:cs="Arial"/>
          <w:color w:val="000000"/>
          <w:sz w:val="24"/>
          <w:szCs w:val="24"/>
        </w:rPr>
        <w:object w:dxaOrig="10187" w:dyaOrig="1835">
          <v:shape id="_x0000_i1116" type="#_x0000_t75" style="width:510pt;height:91.5pt" o:ole="">
            <v:imagedata r:id="rId191" o:title=""/>
          </v:shape>
          <o:OLEObject Type="Embed" ProgID="Excel.Sheet.12" ShapeID="_x0000_i1116" DrawAspect="Content" ObjectID="_1554906192" r:id="rId192"/>
        </w:object>
      </w:r>
    </w:p>
    <w:p w:rsidR="002D306C" w:rsidRPr="00CE23EA" w:rsidRDefault="002D306C" w:rsidP="002D306C">
      <w:pPr>
        <w:pStyle w:val="Ttulo3"/>
        <w:jc w:val="both"/>
        <w:rPr>
          <w:color w:val="365F91"/>
        </w:rPr>
      </w:pPr>
      <w:r w:rsidRPr="00CE23EA">
        <w:rPr>
          <w:color w:val="365F91"/>
        </w:rPr>
        <w:t xml:space="preserve">NOTA No. 12 - Diferencias positivas tipo de cambio </w:t>
      </w:r>
    </w:p>
    <w:p w:rsidR="002D306C" w:rsidRDefault="002D306C" w:rsidP="002D306C">
      <w:pPr>
        <w:pStyle w:val="Textoindependiente"/>
        <w:spacing w:line="276" w:lineRule="auto"/>
        <w:rPr>
          <w:rFonts w:ascii="Arial" w:hAnsi="Arial" w:cs="Arial"/>
          <w:sz w:val="20"/>
          <w:lang w:val="es-CR"/>
        </w:rPr>
      </w:pPr>
    </w:p>
    <w:p w:rsidR="002D306C" w:rsidRPr="00485726" w:rsidRDefault="002D306C" w:rsidP="002D306C">
      <w:pPr>
        <w:pStyle w:val="Textoindependiente"/>
        <w:spacing w:line="276" w:lineRule="auto"/>
        <w:rPr>
          <w:rFonts w:ascii="Arial" w:hAnsi="Arial" w:cs="Arial"/>
          <w:sz w:val="20"/>
          <w:lang w:val="es-CR"/>
        </w:rPr>
      </w:pPr>
      <w:r w:rsidRPr="00485726">
        <w:rPr>
          <w:rFonts w:ascii="Arial" w:hAnsi="Arial" w:cs="Arial"/>
          <w:sz w:val="20"/>
          <w:lang w:val="es-CR"/>
        </w:rPr>
        <w:t>Estos ingresos corresponden al aumento de valor del dólar con respecto al colón, esto para la cuenta en dólares que posee la Junta Administrativa del Archivo Nacional.</w:t>
      </w:r>
    </w:p>
    <w:p w:rsidR="002D306C" w:rsidRPr="002D306C" w:rsidRDefault="002D306C" w:rsidP="002D306C">
      <w:pPr>
        <w:pStyle w:val="Textoindependiente"/>
        <w:spacing w:line="276" w:lineRule="auto"/>
        <w:rPr>
          <w:rFonts w:ascii="Arial" w:hAnsi="Arial" w:cs="Arial"/>
          <w:lang w:val="es-ES"/>
        </w:rPr>
      </w:pPr>
    </w:p>
    <w:bookmarkStart w:id="401" w:name="_MON_1483875571"/>
    <w:bookmarkStart w:id="402" w:name="_MON_1466572632"/>
    <w:bookmarkStart w:id="403" w:name="_MON_1490596110"/>
    <w:bookmarkStart w:id="404" w:name="_MON_1458472016"/>
    <w:bookmarkStart w:id="405" w:name="_MON_1498300743"/>
    <w:bookmarkStart w:id="406" w:name="_MON_1474887716"/>
    <w:bookmarkEnd w:id="401"/>
    <w:bookmarkEnd w:id="402"/>
    <w:bookmarkEnd w:id="403"/>
    <w:bookmarkEnd w:id="404"/>
    <w:bookmarkEnd w:id="405"/>
    <w:bookmarkEnd w:id="406"/>
    <w:bookmarkStart w:id="407" w:name="_MON_1506405919"/>
    <w:bookmarkEnd w:id="407"/>
    <w:p w:rsidR="002D306C" w:rsidRDefault="002D306C" w:rsidP="002D306C">
      <w:pPr>
        <w:jc w:val="both"/>
        <w:rPr>
          <w:rFonts w:ascii="Candara" w:hAnsi="Candara" w:cs="Arial"/>
          <w:b/>
          <w:color w:val="000000"/>
          <w:sz w:val="24"/>
          <w:szCs w:val="24"/>
          <w:u w:val="single"/>
        </w:rPr>
      </w:pPr>
      <w:r>
        <w:rPr>
          <w:rFonts w:ascii="Candara" w:hAnsi="Candara" w:cs="Arial"/>
          <w:color w:val="000000"/>
          <w:sz w:val="24"/>
          <w:szCs w:val="24"/>
        </w:rPr>
        <w:object w:dxaOrig="10187" w:dyaOrig="1835">
          <v:shape id="_x0000_i1117" type="#_x0000_t75" style="width:510pt;height:91.5pt" o:ole="">
            <v:imagedata r:id="rId193" o:title=""/>
          </v:shape>
          <o:OLEObject Type="Embed" ProgID="Excel.Sheet.12" ShapeID="_x0000_i1117" DrawAspect="Content" ObjectID="_1554906193" r:id="rId194"/>
        </w:object>
      </w:r>
    </w:p>
    <w:p w:rsidR="002D306C" w:rsidRDefault="002D306C" w:rsidP="002D306C">
      <w:pPr>
        <w:jc w:val="both"/>
        <w:rPr>
          <w:rFonts w:ascii="Arial" w:hAnsi="Arial" w:cs="Arial"/>
          <w:lang w:val="es-CR"/>
        </w:rPr>
      </w:pPr>
      <w:r>
        <w:rPr>
          <w:rFonts w:ascii="Arial" w:hAnsi="Arial" w:cs="Arial"/>
          <w:lang w:val="es-CR"/>
        </w:rPr>
        <w:t>Las variaciones mostradas corresponden a la aplicación de tipo de cambio a facturas en dólares durante todo el año.</w:t>
      </w:r>
    </w:p>
    <w:p w:rsidR="002D306C" w:rsidRDefault="002D306C" w:rsidP="002D306C">
      <w:pPr>
        <w:pStyle w:val="Ttulo3"/>
        <w:jc w:val="both"/>
        <w:rPr>
          <w:color w:val="365F91"/>
        </w:rPr>
      </w:pPr>
    </w:p>
    <w:p w:rsidR="002D306C" w:rsidRPr="00CE23EA" w:rsidRDefault="002D306C" w:rsidP="002D306C">
      <w:pPr>
        <w:pStyle w:val="Ttulo3"/>
        <w:jc w:val="both"/>
        <w:rPr>
          <w:color w:val="365F91"/>
        </w:rPr>
      </w:pPr>
      <w:r w:rsidRPr="00CE23EA">
        <w:rPr>
          <w:color w:val="365F91"/>
        </w:rPr>
        <w:t>NOTA No. 13 - Ganancia por reclasificación de activos Fijos</w:t>
      </w:r>
    </w:p>
    <w:p w:rsidR="002D306C" w:rsidRDefault="002D306C" w:rsidP="002D306C">
      <w:pPr>
        <w:pStyle w:val="Textoindependiente"/>
        <w:spacing w:line="276" w:lineRule="auto"/>
        <w:rPr>
          <w:rFonts w:ascii="Arial" w:hAnsi="Arial" w:cs="Arial"/>
          <w:sz w:val="20"/>
          <w:lang w:val="es-CR"/>
        </w:rPr>
      </w:pPr>
    </w:p>
    <w:p w:rsidR="002D306C" w:rsidRPr="00485726" w:rsidRDefault="002D306C" w:rsidP="002D306C">
      <w:pPr>
        <w:pStyle w:val="Textoindependiente"/>
        <w:spacing w:line="276" w:lineRule="auto"/>
        <w:rPr>
          <w:rFonts w:ascii="Arial" w:hAnsi="Arial" w:cs="Arial"/>
          <w:sz w:val="20"/>
          <w:lang w:val="es-CR"/>
        </w:rPr>
      </w:pPr>
      <w:r w:rsidRPr="00485726">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408" w:name="_MON_1490596132"/>
    <w:bookmarkEnd w:id="408"/>
    <w:p w:rsidR="002D306C" w:rsidRDefault="002D306C" w:rsidP="002D306C">
      <w:pPr>
        <w:jc w:val="both"/>
        <w:rPr>
          <w:rFonts w:ascii="Candara" w:hAnsi="Candara" w:cs="Arial"/>
          <w:i/>
        </w:rPr>
      </w:pPr>
      <w:r>
        <w:rPr>
          <w:rFonts w:ascii="Candara" w:hAnsi="Candara" w:cs="Arial"/>
          <w:color w:val="000000"/>
          <w:sz w:val="24"/>
          <w:szCs w:val="24"/>
        </w:rPr>
        <w:object w:dxaOrig="10141" w:dyaOrig="1835">
          <v:shape id="_x0000_i1118" type="#_x0000_t75" style="width:507.75pt;height:91.5pt" o:ole="">
            <v:imagedata r:id="rId195" o:title=""/>
          </v:shape>
          <o:OLEObject Type="Embed" ProgID="Excel.Sheet.12" ShapeID="_x0000_i1118" DrawAspect="Content" ObjectID="_1554906194" r:id="rId196"/>
        </w:object>
      </w:r>
    </w:p>
    <w:p w:rsidR="002D306C" w:rsidRDefault="002D306C" w:rsidP="002D306C">
      <w:pPr>
        <w:rPr>
          <w:b/>
          <w:bCs/>
          <w:color w:val="365F91"/>
          <w:sz w:val="24"/>
          <w:lang w:val="es-ES"/>
        </w:rPr>
      </w:pPr>
      <w:r>
        <w:rPr>
          <w:color w:val="365F91"/>
        </w:rPr>
        <w:br w:type="page"/>
      </w:r>
    </w:p>
    <w:p w:rsidR="002D306C" w:rsidRPr="00CE23EA" w:rsidRDefault="002D306C" w:rsidP="002D306C">
      <w:pPr>
        <w:pStyle w:val="Ttulo3"/>
        <w:jc w:val="both"/>
        <w:rPr>
          <w:color w:val="365F91"/>
        </w:rPr>
      </w:pPr>
      <w:r w:rsidRPr="00CE23EA">
        <w:rPr>
          <w:color w:val="365F91"/>
        </w:rPr>
        <w:lastRenderedPageBreak/>
        <w:t xml:space="preserve">NOTA No. 14 - Otros Ingresos </w:t>
      </w:r>
    </w:p>
    <w:p w:rsidR="002D306C" w:rsidRDefault="002D306C" w:rsidP="002D306C">
      <w:pPr>
        <w:pStyle w:val="Textoindependiente"/>
        <w:spacing w:line="276" w:lineRule="auto"/>
        <w:rPr>
          <w:rFonts w:ascii="Arial" w:hAnsi="Arial" w:cs="Arial"/>
          <w:sz w:val="20"/>
          <w:lang w:val="es-CR"/>
        </w:rPr>
      </w:pPr>
    </w:p>
    <w:p w:rsidR="002D306C" w:rsidRPr="00E633C0" w:rsidRDefault="002D306C" w:rsidP="002D306C">
      <w:pPr>
        <w:pStyle w:val="Textoindependiente"/>
        <w:spacing w:line="276" w:lineRule="auto"/>
        <w:rPr>
          <w:rFonts w:ascii="Arial" w:hAnsi="Arial" w:cs="Arial"/>
          <w:sz w:val="20"/>
          <w:lang w:val="es-CR"/>
        </w:rPr>
      </w:pPr>
      <w:r w:rsidRPr="00E633C0">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409" w:name="_MON_1490596154"/>
    <w:bookmarkEnd w:id="409"/>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19" type="#_x0000_t75" style="width:510pt;height:91.5pt" o:ole="">
            <v:imagedata r:id="rId197" o:title=""/>
          </v:shape>
          <o:OLEObject Type="Embed" ProgID="Excel.Sheet.12" ShapeID="_x0000_i1119" DrawAspect="Content" ObjectID="_1554906195" r:id="rId198"/>
        </w:object>
      </w:r>
    </w:p>
    <w:p w:rsidR="002D306C" w:rsidRDefault="002D306C" w:rsidP="002D306C">
      <w:pPr>
        <w:pStyle w:val="Ttulo2"/>
        <w:jc w:val="both"/>
        <w:rPr>
          <w:color w:val="365F91"/>
        </w:rPr>
      </w:pPr>
      <w:r w:rsidRPr="00CE23EA">
        <w:rPr>
          <w:color w:val="365F91"/>
        </w:rPr>
        <w:t>Otros Gastos</w:t>
      </w:r>
    </w:p>
    <w:p w:rsidR="002D306C" w:rsidRPr="00E633C0" w:rsidRDefault="002D306C" w:rsidP="002D306C">
      <w:pPr>
        <w:rPr>
          <w:lang w:val="es-ES"/>
        </w:rPr>
      </w:pPr>
    </w:p>
    <w:p w:rsidR="002D306C" w:rsidRPr="00CE23EA" w:rsidRDefault="002D306C" w:rsidP="002D306C">
      <w:pPr>
        <w:pStyle w:val="Ttulo3"/>
        <w:jc w:val="both"/>
        <w:rPr>
          <w:color w:val="365F91"/>
        </w:rPr>
      </w:pPr>
      <w:r w:rsidRPr="00CE23EA">
        <w:rPr>
          <w:color w:val="365F91"/>
        </w:rPr>
        <w:t xml:space="preserve">NOTA No. 15 - Perdida en venta o retiro de Activos Fijos </w:t>
      </w:r>
    </w:p>
    <w:p w:rsidR="002D306C" w:rsidRDefault="002D306C" w:rsidP="002D306C">
      <w:pPr>
        <w:pStyle w:val="Textoindependiente"/>
        <w:spacing w:line="276" w:lineRule="auto"/>
        <w:rPr>
          <w:rFonts w:ascii="Arial" w:hAnsi="Arial" w:cs="Arial"/>
          <w:sz w:val="20"/>
          <w:lang w:val="es-CR"/>
        </w:rPr>
      </w:pPr>
    </w:p>
    <w:p w:rsidR="002D306C" w:rsidRDefault="002D306C" w:rsidP="002D306C">
      <w:pPr>
        <w:pStyle w:val="Textoindependiente"/>
        <w:spacing w:line="276" w:lineRule="auto"/>
        <w:rPr>
          <w:rFonts w:ascii="Arial" w:hAnsi="Arial" w:cs="Arial"/>
          <w:sz w:val="20"/>
          <w:lang w:val="es-CR"/>
        </w:rPr>
      </w:pPr>
      <w:r w:rsidRPr="00E633C0">
        <w:rPr>
          <w:rFonts w:ascii="Arial" w:hAnsi="Arial" w:cs="Arial"/>
          <w:sz w:val="20"/>
          <w:lang w:val="es-CR"/>
        </w:rPr>
        <w:t>No aplica en este momento.</w:t>
      </w:r>
    </w:p>
    <w:p w:rsidR="002D306C" w:rsidRPr="00E633C0" w:rsidRDefault="002D306C" w:rsidP="002D306C">
      <w:pPr>
        <w:pStyle w:val="Textoindependiente"/>
        <w:spacing w:line="276" w:lineRule="auto"/>
        <w:rPr>
          <w:rFonts w:ascii="Arial" w:hAnsi="Arial" w:cs="Arial"/>
          <w:sz w:val="20"/>
          <w:lang w:val="es-CR"/>
        </w:rPr>
      </w:pPr>
    </w:p>
    <w:bookmarkStart w:id="410" w:name="_MON_1490596165"/>
    <w:bookmarkEnd w:id="410"/>
    <w:p w:rsidR="002D306C" w:rsidRDefault="002D306C" w:rsidP="002D306C">
      <w:pPr>
        <w:jc w:val="both"/>
        <w:rPr>
          <w:rFonts w:ascii="Candara" w:hAnsi="Candara" w:cs="Arial"/>
          <w:i/>
        </w:rPr>
      </w:pPr>
      <w:r>
        <w:rPr>
          <w:rFonts w:ascii="Candara" w:hAnsi="Candara" w:cs="Arial"/>
          <w:color w:val="000000"/>
          <w:sz w:val="24"/>
          <w:szCs w:val="24"/>
        </w:rPr>
        <w:object w:dxaOrig="10438" w:dyaOrig="1866">
          <v:shape id="_x0000_i1120" type="#_x0000_t75" style="width:522.75pt;height:93pt" o:ole="">
            <v:imagedata r:id="rId199" o:title=""/>
          </v:shape>
          <o:OLEObject Type="Embed" ProgID="Excel.Sheet.12" ShapeID="_x0000_i1120" DrawAspect="Content" ObjectID="_1554906196" r:id="rId200"/>
        </w:object>
      </w:r>
    </w:p>
    <w:p w:rsidR="002D306C" w:rsidRPr="00CE23EA" w:rsidRDefault="002D306C" w:rsidP="002D306C">
      <w:pPr>
        <w:pStyle w:val="Ttulo3"/>
        <w:jc w:val="both"/>
        <w:rPr>
          <w:color w:val="365F91"/>
        </w:rPr>
      </w:pPr>
      <w:r w:rsidRPr="00CE23EA">
        <w:rPr>
          <w:color w:val="365F91"/>
        </w:rPr>
        <w:t xml:space="preserve">NOTA No. 16 - Diferencias negativas en el tipo de cambio </w:t>
      </w:r>
    </w:p>
    <w:p w:rsidR="002D306C" w:rsidRDefault="002D306C" w:rsidP="002D306C">
      <w:pPr>
        <w:pStyle w:val="Textoindependiente"/>
        <w:spacing w:line="276" w:lineRule="auto"/>
        <w:rPr>
          <w:rFonts w:ascii="Arial" w:hAnsi="Arial" w:cs="Arial"/>
          <w:sz w:val="20"/>
          <w:lang w:val="es-CR"/>
        </w:rPr>
      </w:pPr>
    </w:p>
    <w:p w:rsidR="002D306C" w:rsidRPr="00485726" w:rsidRDefault="002D306C" w:rsidP="002D306C">
      <w:pPr>
        <w:pStyle w:val="Textoindependiente"/>
        <w:spacing w:line="276" w:lineRule="auto"/>
        <w:rPr>
          <w:rFonts w:ascii="Arial" w:hAnsi="Arial" w:cs="Arial"/>
          <w:sz w:val="20"/>
          <w:lang w:val="es-CR"/>
        </w:rPr>
      </w:pPr>
      <w:r w:rsidRPr="00485726">
        <w:rPr>
          <w:rFonts w:ascii="Arial" w:hAnsi="Arial" w:cs="Arial"/>
          <w:sz w:val="20"/>
          <w:lang w:val="es-CR"/>
        </w:rPr>
        <w:t xml:space="preserve">Estos </w:t>
      </w:r>
      <w:r>
        <w:rPr>
          <w:rFonts w:ascii="Arial" w:hAnsi="Arial" w:cs="Arial"/>
          <w:sz w:val="20"/>
          <w:lang w:val="es-CR"/>
        </w:rPr>
        <w:t>gastos</w:t>
      </w:r>
      <w:r w:rsidRPr="00485726">
        <w:rPr>
          <w:rFonts w:ascii="Arial" w:hAnsi="Arial" w:cs="Arial"/>
          <w:sz w:val="20"/>
          <w:lang w:val="es-CR"/>
        </w:rPr>
        <w:t xml:space="preserve"> corresponden al aumento de valor del dólar con respecto al colón, esto para la cuenta en dólares que posee la Junta Administrativa del Archivo Nacional.</w:t>
      </w:r>
    </w:p>
    <w:p w:rsidR="002D306C" w:rsidRPr="002D306C" w:rsidRDefault="002D306C" w:rsidP="002D306C">
      <w:pPr>
        <w:pStyle w:val="Textoindependiente"/>
        <w:rPr>
          <w:rFonts w:ascii="Candara" w:hAnsi="Candara" w:cs="Arial"/>
          <w:i/>
          <w:lang w:val="es-ES"/>
        </w:rPr>
      </w:pPr>
    </w:p>
    <w:bookmarkStart w:id="411" w:name="_MON_1490596201"/>
    <w:bookmarkStart w:id="412" w:name="_MON_1506405953"/>
    <w:bookmarkEnd w:id="411"/>
    <w:bookmarkEnd w:id="412"/>
    <w:bookmarkStart w:id="413" w:name="_MON_1498300788"/>
    <w:bookmarkEnd w:id="413"/>
    <w:p w:rsidR="002D306C" w:rsidRDefault="002D306C" w:rsidP="002D306C">
      <w:pPr>
        <w:jc w:val="both"/>
        <w:rPr>
          <w:rFonts w:ascii="Arial" w:hAnsi="Arial" w:cs="Arial"/>
          <w:lang w:val="es-CR"/>
        </w:rPr>
      </w:pPr>
      <w:r>
        <w:rPr>
          <w:rFonts w:ascii="Candara" w:hAnsi="Candara" w:cs="Arial"/>
          <w:color w:val="000000"/>
          <w:sz w:val="24"/>
          <w:szCs w:val="24"/>
        </w:rPr>
        <w:object w:dxaOrig="10187" w:dyaOrig="1835">
          <v:shape id="_x0000_i1121" type="#_x0000_t75" style="width:510pt;height:91.5pt" o:ole="">
            <v:imagedata r:id="rId201" o:title=""/>
          </v:shape>
          <o:OLEObject Type="Embed" ProgID="Excel.Sheet.12" ShapeID="_x0000_i1121" DrawAspect="Content" ObjectID="_1554906197" r:id="rId202"/>
        </w:object>
      </w:r>
      <w:r w:rsidRPr="00197D85">
        <w:rPr>
          <w:rFonts w:ascii="Arial" w:hAnsi="Arial" w:cs="Arial"/>
          <w:lang w:val="es-CR"/>
        </w:rPr>
        <w:t xml:space="preserve"> </w:t>
      </w:r>
    </w:p>
    <w:p w:rsidR="002D306C" w:rsidRDefault="002D306C" w:rsidP="002D306C">
      <w:pPr>
        <w:jc w:val="both"/>
        <w:rPr>
          <w:rFonts w:ascii="Arial" w:hAnsi="Arial" w:cs="Arial"/>
          <w:lang w:val="es-CR"/>
        </w:rPr>
      </w:pPr>
      <w:r>
        <w:rPr>
          <w:rFonts w:ascii="Arial" w:hAnsi="Arial" w:cs="Arial"/>
          <w:lang w:val="es-CR"/>
        </w:rPr>
        <w:t>Las variaciones mostradas corresponden a la aplicación de tipo de cambio a facturas en dólares durante todo el año.</w:t>
      </w:r>
    </w:p>
    <w:p w:rsidR="002D306C" w:rsidRPr="002D306C" w:rsidRDefault="002D306C" w:rsidP="002D306C">
      <w:pPr>
        <w:jc w:val="both"/>
        <w:rPr>
          <w:rFonts w:ascii="Candara" w:hAnsi="Candara" w:cs="Arial"/>
          <w:i/>
          <w:lang w:val="es-ES"/>
        </w:rPr>
      </w:pPr>
    </w:p>
    <w:p w:rsidR="002D306C" w:rsidRDefault="002D306C" w:rsidP="002D306C">
      <w:pPr>
        <w:rPr>
          <w:b/>
          <w:bCs/>
          <w:color w:val="365F91"/>
          <w:sz w:val="24"/>
          <w:lang w:val="es-ES"/>
        </w:rPr>
      </w:pPr>
      <w:r w:rsidRPr="002D306C">
        <w:rPr>
          <w:color w:val="365F91"/>
          <w:lang w:val="es-ES"/>
        </w:rPr>
        <w:br w:type="page"/>
      </w:r>
    </w:p>
    <w:p w:rsidR="002D306C" w:rsidRPr="00CE23EA" w:rsidRDefault="002D306C" w:rsidP="002D306C">
      <w:pPr>
        <w:pStyle w:val="Ttulo3"/>
        <w:jc w:val="both"/>
        <w:rPr>
          <w:color w:val="365F91"/>
        </w:rPr>
      </w:pPr>
      <w:r w:rsidRPr="00CE23EA">
        <w:rPr>
          <w:color w:val="365F91"/>
        </w:rPr>
        <w:lastRenderedPageBreak/>
        <w:t>NOTA No. 17 Gasto por depreciación y agotamiento</w:t>
      </w:r>
    </w:p>
    <w:p w:rsidR="002D306C" w:rsidRDefault="002D306C" w:rsidP="002D306C">
      <w:pPr>
        <w:pStyle w:val="Textoindependiente"/>
        <w:spacing w:line="276" w:lineRule="auto"/>
        <w:rPr>
          <w:rFonts w:ascii="Arial" w:hAnsi="Arial" w:cs="Arial"/>
          <w:sz w:val="20"/>
          <w:lang w:val="es-CR"/>
        </w:rPr>
      </w:pPr>
    </w:p>
    <w:p w:rsidR="002D306C" w:rsidRPr="00E633C0" w:rsidRDefault="002D306C" w:rsidP="002D306C">
      <w:pPr>
        <w:pStyle w:val="Textoindependiente"/>
        <w:spacing w:line="276" w:lineRule="auto"/>
        <w:rPr>
          <w:rFonts w:ascii="Arial" w:hAnsi="Arial" w:cs="Arial"/>
          <w:sz w:val="20"/>
          <w:lang w:val="es-CR"/>
        </w:rPr>
      </w:pPr>
      <w:r w:rsidRPr="00E633C0">
        <w:rPr>
          <w:rFonts w:ascii="Arial" w:hAnsi="Arial" w:cs="Arial"/>
          <w:sz w:val="20"/>
          <w:lang w:val="es-CR"/>
        </w:rPr>
        <w:t>Corresponde a la depreciación sufrida por los activos propiedad del Archivo Nacional.</w:t>
      </w:r>
    </w:p>
    <w:p w:rsidR="002D306C" w:rsidRPr="002D306C" w:rsidRDefault="002D306C" w:rsidP="002D306C">
      <w:pPr>
        <w:pStyle w:val="Textoindependiente"/>
        <w:spacing w:line="276" w:lineRule="auto"/>
        <w:rPr>
          <w:rFonts w:ascii="Arial" w:hAnsi="Arial" w:cs="Arial"/>
          <w:szCs w:val="24"/>
          <w:lang w:val="es-ES"/>
        </w:rPr>
      </w:pPr>
    </w:p>
    <w:bookmarkStart w:id="414" w:name="_MON_1483875660"/>
    <w:bookmarkStart w:id="415" w:name="_MON_1466572645"/>
    <w:bookmarkStart w:id="416" w:name="_MON_1490596226"/>
    <w:bookmarkStart w:id="417" w:name="_MON_1458472140"/>
    <w:bookmarkStart w:id="418" w:name="_MON_1498300819"/>
    <w:bookmarkStart w:id="419" w:name="_MON_1474887793"/>
    <w:bookmarkEnd w:id="414"/>
    <w:bookmarkEnd w:id="415"/>
    <w:bookmarkEnd w:id="416"/>
    <w:bookmarkEnd w:id="417"/>
    <w:bookmarkEnd w:id="418"/>
    <w:bookmarkEnd w:id="419"/>
    <w:bookmarkStart w:id="420" w:name="_MON_1506405962"/>
    <w:bookmarkEnd w:id="420"/>
    <w:p w:rsidR="002D306C" w:rsidRDefault="002D306C" w:rsidP="002D306C">
      <w:pPr>
        <w:jc w:val="both"/>
        <w:rPr>
          <w:rFonts w:ascii="Candara" w:hAnsi="Candara" w:cs="Arial"/>
          <w:b/>
          <w:color w:val="000000"/>
          <w:sz w:val="24"/>
          <w:szCs w:val="24"/>
          <w:u w:val="single"/>
        </w:rPr>
      </w:pPr>
      <w:r>
        <w:rPr>
          <w:rFonts w:ascii="Candara" w:hAnsi="Candara" w:cs="Arial"/>
          <w:color w:val="000000"/>
          <w:sz w:val="24"/>
          <w:szCs w:val="24"/>
        </w:rPr>
        <w:object w:dxaOrig="10187" w:dyaOrig="1835">
          <v:shape id="_x0000_i1122" type="#_x0000_t75" style="width:510pt;height:91.5pt" o:ole="">
            <v:imagedata r:id="rId203" o:title=""/>
          </v:shape>
          <o:OLEObject Type="Embed" ProgID="Excel.Sheet.12" ShapeID="_x0000_i1122" DrawAspect="Content" ObjectID="_1554906198" r:id="rId204"/>
        </w:object>
      </w:r>
    </w:p>
    <w:p w:rsidR="002D306C" w:rsidRDefault="002D306C" w:rsidP="002D306C">
      <w:pPr>
        <w:jc w:val="both"/>
        <w:rPr>
          <w:rFonts w:ascii="Arial" w:hAnsi="Arial" w:cs="Arial"/>
          <w:lang w:val="es-CR"/>
        </w:rPr>
      </w:pPr>
      <w:r>
        <w:rPr>
          <w:rFonts w:ascii="Arial" w:hAnsi="Arial" w:cs="Arial"/>
          <w:lang w:val="es-CR"/>
        </w:rPr>
        <w:t>Las variaciones mostradas corresponden por la adquisición de nuevas activos durante el año.</w:t>
      </w:r>
    </w:p>
    <w:p w:rsidR="002D306C" w:rsidRDefault="002D306C" w:rsidP="002D306C">
      <w:pPr>
        <w:rPr>
          <w:rFonts w:ascii="Arial" w:hAnsi="Arial" w:cs="Arial"/>
          <w:lang w:val="es-CR"/>
        </w:rPr>
      </w:pPr>
    </w:p>
    <w:p w:rsidR="002D306C" w:rsidRPr="00CE23EA" w:rsidRDefault="002D306C" w:rsidP="002D306C">
      <w:pPr>
        <w:pStyle w:val="Ttulo3"/>
        <w:jc w:val="both"/>
        <w:rPr>
          <w:color w:val="365F91"/>
        </w:rPr>
      </w:pPr>
      <w:r w:rsidRPr="00CE23EA">
        <w:rPr>
          <w:color w:val="365F91"/>
        </w:rPr>
        <w:t>NOTA No. 18 - Gastos diferidos de intangibles</w:t>
      </w:r>
    </w:p>
    <w:p w:rsidR="002D306C" w:rsidRDefault="002D306C" w:rsidP="002D306C">
      <w:pPr>
        <w:pStyle w:val="Textoindependiente"/>
        <w:rPr>
          <w:rFonts w:ascii="Arial" w:hAnsi="Arial" w:cs="Arial"/>
          <w:sz w:val="20"/>
          <w:lang w:val="es-CR"/>
        </w:rPr>
      </w:pPr>
    </w:p>
    <w:p w:rsidR="002D306C" w:rsidRPr="00E633C0" w:rsidRDefault="002D306C" w:rsidP="002D306C">
      <w:pPr>
        <w:pStyle w:val="Textoindependiente"/>
        <w:rPr>
          <w:rFonts w:ascii="Arial" w:hAnsi="Arial" w:cs="Arial"/>
          <w:sz w:val="20"/>
          <w:lang w:val="es-CR"/>
        </w:rPr>
      </w:pPr>
      <w:r w:rsidRPr="00E633C0">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421" w:name="_MON_1490596324"/>
    <w:bookmarkEnd w:id="421"/>
    <w:p w:rsidR="002D306C" w:rsidRDefault="002D306C" w:rsidP="002D306C">
      <w:pPr>
        <w:jc w:val="both"/>
        <w:rPr>
          <w:rFonts w:ascii="Candara" w:hAnsi="Candara" w:cs="Arial"/>
          <w:i/>
        </w:rPr>
      </w:pPr>
      <w:r>
        <w:rPr>
          <w:rFonts w:ascii="Candara" w:hAnsi="Candara" w:cs="Arial"/>
          <w:color w:val="000000"/>
          <w:sz w:val="24"/>
          <w:szCs w:val="24"/>
        </w:rPr>
        <w:object w:dxaOrig="10187" w:dyaOrig="1835">
          <v:shape id="_x0000_i1123" type="#_x0000_t75" style="width:510pt;height:91.5pt" o:ole="">
            <v:imagedata r:id="rId205" o:title=""/>
          </v:shape>
          <o:OLEObject Type="Embed" ProgID="Excel.Sheet.12" ShapeID="_x0000_i1123" DrawAspect="Content" ObjectID="_1554906199" r:id="rId206"/>
        </w:object>
      </w:r>
    </w:p>
    <w:p w:rsidR="002D306C" w:rsidRPr="00CE23EA" w:rsidRDefault="002D306C" w:rsidP="002D306C">
      <w:pPr>
        <w:pStyle w:val="Ttulo3"/>
        <w:jc w:val="both"/>
        <w:rPr>
          <w:color w:val="365F91"/>
        </w:rPr>
      </w:pPr>
      <w:r w:rsidRPr="00CE23EA">
        <w:rPr>
          <w:color w:val="365F91"/>
        </w:rPr>
        <w:t>NOTA No. 19 - Pérdida por reclasificación de activos Fijos</w:t>
      </w:r>
    </w:p>
    <w:p w:rsidR="002D306C" w:rsidRDefault="002D306C" w:rsidP="002D306C">
      <w:pPr>
        <w:pStyle w:val="Textoindependiente"/>
        <w:rPr>
          <w:rFonts w:ascii="Arial" w:hAnsi="Arial" w:cs="Arial"/>
          <w:sz w:val="20"/>
          <w:lang w:val="es-CR"/>
        </w:rPr>
      </w:pPr>
    </w:p>
    <w:p w:rsidR="002D306C" w:rsidRPr="00E633C0" w:rsidRDefault="002D306C" w:rsidP="002D306C">
      <w:pPr>
        <w:pStyle w:val="Textoindependiente"/>
        <w:rPr>
          <w:rFonts w:ascii="Arial" w:hAnsi="Arial" w:cs="Arial"/>
          <w:sz w:val="20"/>
          <w:lang w:val="es-CR"/>
        </w:rPr>
      </w:pPr>
      <w:r>
        <w:rPr>
          <w:rFonts w:ascii="Arial" w:hAnsi="Arial" w:cs="Arial"/>
          <w:sz w:val="20"/>
          <w:lang w:val="es-CR"/>
        </w:rPr>
        <w:t>Corresponde a Activos dados de baja por encontrarse en mal estado.</w:t>
      </w:r>
    </w:p>
    <w:p w:rsidR="002D306C" w:rsidRPr="002D306C" w:rsidRDefault="002D306C" w:rsidP="002D306C">
      <w:pPr>
        <w:pStyle w:val="Textoindependiente"/>
        <w:rPr>
          <w:rFonts w:ascii="Candara" w:hAnsi="Candara" w:cs="Arial"/>
          <w:i/>
          <w:lang w:val="es-ES"/>
        </w:rPr>
      </w:pPr>
    </w:p>
    <w:bookmarkStart w:id="422" w:name="_MON_1490596333"/>
    <w:bookmarkEnd w:id="422"/>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2159">
          <v:shape id="_x0000_i1124" type="#_x0000_t75" style="width:510pt;height:108pt" o:ole="">
            <v:imagedata r:id="rId207" o:title=""/>
          </v:shape>
          <o:OLEObject Type="Embed" ProgID="Excel.Sheet.12" ShapeID="_x0000_i1124" DrawAspect="Content" ObjectID="_1554906200" r:id="rId208"/>
        </w:object>
      </w:r>
    </w:p>
    <w:p w:rsidR="002D306C" w:rsidRDefault="002D306C" w:rsidP="002D306C">
      <w:pPr>
        <w:jc w:val="both"/>
        <w:rPr>
          <w:rFonts w:ascii="Arial" w:hAnsi="Arial" w:cs="Arial"/>
          <w:lang w:val="es-CR"/>
        </w:rPr>
      </w:pPr>
      <w:r>
        <w:rPr>
          <w:rFonts w:ascii="Arial" w:hAnsi="Arial" w:cs="Arial"/>
          <w:lang w:val="es-CR"/>
        </w:rPr>
        <w:t>El aumento corresponde por baja en activos.</w:t>
      </w:r>
    </w:p>
    <w:p w:rsidR="002D306C" w:rsidRPr="002D306C" w:rsidRDefault="002D306C" w:rsidP="002D306C">
      <w:pPr>
        <w:jc w:val="both"/>
        <w:rPr>
          <w:rFonts w:ascii="Candara" w:hAnsi="Candara" w:cs="Arial"/>
          <w:i/>
          <w:lang w:val="es-ES"/>
        </w:rPr>
      </w:pPr>
    </w:p>
    <w:p w:rsidR="002D306C" w:rsidRDefault="002D306C" w:rsidP="002D306C">
      <w:pPr>
        <w:rPr>
          <w:b/>
          <w:bCs/>
          <w:color w:val="365F91"/>
          <w:sz w:val="24"/>
          <w:lang w:val="es-ES"/>
        </w:rPr>
      </w:pPr>
      <w:r w:rsidRPr="002D306C">
        <w:rPr>
          <w:color w:val="365F91"/>
          <w:lang w:val="es-ES"/>
        </w:rPr>
        <w:br w:type="page"/>
      </w:r>
    </w:p>
    <w:p w:rsidR="002D306C" w:rsidRPr="00CE23EA" w:rsidRDefault="002D306C" w:rsidP="002D306C">
      <w:pPr>
        <w:pStyle w:val="Ttulo3"/>
        <w:jc w:val="both"/>
        <w:rPr>
          <w:color w:val="365F91"/>
        </w:rPr>
      </w:pPr>
      <w:r w:rsidRPr="00CE23EA">
        <w:rPr>
          <w:color w:val="365F91"/>
        </w:rPr>
        <w:lastRenderedPageBreak/>
        <w:t>NOTA No. 20 - Pérdidas por  cuentas incobrables</w:t>
      </w:r>
    </w:p>
    <w:p w:rsidR="002D306C" w:rsidRDefault="002D306C" w:rsidP="002D306C">
      <w:pPr>
        <w:pStyle w:val="Textoindependiente"/>
        <w:rPr>
          <w:rFonts w:ascii="Arial" w:hAnsi="Arial" w:cs="Arial"/>
          <w:sz w:val="20"/>
          <w:lang w:val="es-CR"/>
        </w:rPr>
      </w:pPr>
    </w:p>
    <w:p w:rsidR="002D306C" w:rsidRPr="00E633C0" w:rsidRDefault="002D306C" w:rsidP="002D306C">
      <w:pPr>
        <w:pStyle w:val="Textoindependiente"/>
        <w:rPr>
          <w:rFonts w:ascii="Arial" w:hAnsi="Arial" w:cs="Arial"/>
          <w:sz w:val="20"/>
          <w:lang w:val="es-CR"/>
        </w:rPr>
      </w:pPr>
      <w:r w:rsidRPr="00E633C0">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423" w:name="_MON_1490596341"/>
    <w:bookmarkEnd w:id="423"/>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25" type="#_x0000_t75" style="width:510pt;height:91.5pt" o:ole="">
            <v:imagedata r:id="rId209" o:title=""/>
          </v:shape>
          <o:OLEObject Type="Embed" ProgID="Excel.Sheet.12" ShapeID="_x0000_i1125" DrawAspect="Content" ObjectID="_1554906201" r:id="rId210"/>
        </w:object>
      </w:r>
    </w:p>
    <w:p w:rsidR="002D306C" w:rsidRPr="00CE23EA" w:rsidRDefault="002D306C" w:rsidP="002D306C">
      <w:pPr>
        <w:pStyle w:val="Ttulo3"/>
        <w:jc w:val="both"/>
        <w:rPr>
          <w:color w:val="365F91"/>
        </w:rPr>
      </w:pPr>
      <w:r w:rsidRPr="00CE23EA">
        <w:rPr>
          <w:color w:val="365F91"/>
        </w:rPr>
        <w:t>NOTA No. 21 - Pérdida en existencias</w:t>
      </w:r>
    </w:p>
    <w:p w:rsidR="002D306C" w:rsidRDefault="002D306C" w:rsidP="002D306C">
      <w:pPr>
        <w:pStyle w:val="Textoindependiente"/>
        <w:rPr>
          <w:rFonts w:ascii="Arial" w:hAnsi="Arial" w:cs="Arial"/>
          <w:sz w:val="20"/>
          <w:lang w:val="es-CR"/>
        </w:rPr>
      </w:pPr>
    </w:p>
    <w:p w:rsidR="002D306C" w:rsidRPr="00E633C0" w:rsidRDefault="002D306C" w:rsidP="002D306C">
      <w:pPr>
        <w:pStyle w:val="Textoindependiente"/>
        <w:rPr>
          <w:rFonts w:ascii="Arial" w:hAnsi="Arial" w:cs="Arial"/>
          <w:sz w:val="20"/>
          <w:lang w:val="es-CR"/>
        </w:rPr>
      </w:pPr>
      <w:r w:rsidRPr="00E633C0">
        <w:rPr>
          <w:rFonts w:ascii="Arial" w:hAnsi="Arial" w:cs="Arial"/>
          <w:sz w:val="20"/>
          <w:lang w:val="es-CR"/>
        </w:rPr>
        <w:t>No aplica en este momento.</w:t>
      </w:r>
    </w:p>
    <w:p w:rsidR="002D306C" w:rsidRPr="002D306C" w:rsidRDefault="002D306C" w:rsidP="002D306C">
      <w:pPr>
        <w:pStyle w:val="Textoindependiente"/>
        <w:spacing w:line="276" w:lineRule="auto"/>
        <w:rPr>
          <w:rFonts w:ascii="Arial" w:hAnsi="Arial" w:cs="Arial"/>
          <w:szCs w:val="24"/>
          <w:lang w:val="es-ES"/>
        </w:rPr>
      </w:pPr>
    </w:p>
    <w:bookmarkStart w:id="424" w:name="_MON_1490596349"/>
    <w:bookmarkEnd w:id="424"/>
    <w:p w:rsidR="002D306C" w:rsidRDefault="002D306C" w:rsidP="002D306C">
      <w:pPr>
        <w:jc w:val="both"/>
        <w:rPr>
          <w:color w:val="365F91"/>
        </w:rPr>
      </w:pPr>
      <w:r>
        <w:rPr>
          <w:rFonts w:ascii="Candara" w:hAnsi="Candara" w:cs="Arial"/>
          <w:color w:val="000000"/>
          <w:sz w:val="24"/>
          <w:szCs w:val="24"/>
        </w:rPr>
        <w:object w:dxaOrig="10187" w:dyaOrig="1835">
          <v:shape id="_x0000_i1126" type="#_x0000_t75" style="width:510pt;height:91.5pt" o:ole="">
            <v:imagedata r:id="rId211" o:title=""/>
          </v:shape>
          <o:OLEObject Type="Embed" ProgID="Excel.Sheet.12" ShapeID="_x0000_i1126" DrawAspect="Content" ObjectID="_1554906202" r:id="rId212"/>
        </w:object>
      </w:r>
    </w:p>
    <w:p w:rsidR="002D306C" w:rsidRPr="00CE23EA" w:rsidRDefault="002D306C" w:rsidP="002D306C">
      <w:pPr>
        <w:pStyle w:val="Ttulo3"/>
        <w:jc w:val="both"/>
        <w:rPr>
          <w:color w:val="365F91"/>
        </w:rPr>
      </w:pPr>
      <w:r w:rsidRPr="00CE23EA">
        <w:rPr>
          <w:color w:val="365F91"/>
        </w:rPr>
        <w:t>NOTA No. 22 - Otros Gastos</w:t>
      </w:r>
    </w:p>
    <w:p w:rsidR="002D306C" w:rsidRDefault="002D306C" w:rsidP="002D306C">
      <w:pPr>
        <w:pStyle w:val="Textoindependiente"/>
        <w:rPr>
          <w:rFonts w:ascii="Arial" w:hAnsi="Arial" w:cs="Arial"/>
          <w:sz w:val="20"/>
          <w:lang w:val="es-CR"/>
        </w:rPr>
      </w:pPr>
    </w:p>
    <w:p w:rsidR="002D306C" w:rsidRDefault="002D306C" w:rsidP="002D306C">
      <w:pPr>
        <w:pStyle w:val="Textoindependiente"/>
        <w:rPr>
          <w:rFonts w:ascii="Arial" w:hAnsi="Arial" w:cs="Arial"/>
          <w:sz w:val="20"/>
          <w:lang w:val="es-CR"/>
        </w:rPr>
      </w:pPr>
      <w:r w:rsidRPr="007032C3">
        <w:rPr>
          <w:rFonts w:ascii="Arial" w:hAnsi="Arial" w:cs="Arial"/>
          <w:sz w:val="20"/>
          <w:lang w:val="es-CR"/>
        </w:rPr>
        <w:t xml:space="preserve">Corresponde a otros gastos </w:t>
      </w:r>
      <w:r>
        <w:rPr>
          <w:rFonts w:ascii="Arial" w:hAnsi="Arial" w:cs="Arial"/>
          <w:sz w:val="20"/>
          <w:lang w:val="es-CR"/>
        </w:rPr>
        <w:t>no incluidos en las cuentas anteriores</w:t>
      </w:r>
    </w:p>
    <w:p w:rsidR="002D306C" w:rsidRPr="007032C3" w:rsidRDefault="002D306C" w:rsidP="002D306C">
      <w:pPr>
        <w:pStyle w:val="Textoindependiente"/>
        <w:rPr>
          <w:rFonts w:ascii="Arial" w:hAnsi="Arial" w:cs="Arial"/>
          <w:sz w:val="20"/>
          <w:lang w:val="es-CR"/>
        </w:rPr>
      </w:pPr>
    </w:p>
    <w:bookmarkStart w:id="425" w:name="_MON_1490596422"/>
    <w:bookmarkStart w:id="426" w:name="_MON_1506405987"/>
    <w:bookmarkEnd w:id="425"/>
    <w:bookmarkEnd w:id="426"/>
    <w:bookmarkStart w:id="427" w:name="_MON_1498300836"/>
    <w:bookmarkEnd w:id="427"/>
    <w:p w:rsidR="002D306C" w:rsidRDefault="002D306C" w:rsidP="002D306C">
      <w:pPr>
        <w:jc w:val="both"/>
        <w:rPr>
          <w:rFonts w:ascii="Candara" w:hAnsi="Candara" w:cs="Arial"/>
          <w:color w:val="000000"/>
          <w:sz w:val="24"/>
          <w:szCs w:val="24"/>
        </w:rPr>
      </w:pPr>
      <w:r>
        <w:rPr>
          <w:rFonts w:ascii="Candara" w:hAnsi="Candara" w:cs="Arial"/>
          <w:color w:val="000000"/>
          <w:sz w:val="24"/>
          <w:szCs w:val="24"/>
        </w:rPr>
        <w:object w:dxaOrig="10187" w:dyaOrig="1835">
          <v:shape id="_x0000_i1127" type="#_x0000_t75" style="width:510pt;height:91.5pt" o:ole="">
            <v:imagedata r:id="rId213" o:title=""/>
          </v:shape>
          <o:OLEObject Type="Embed" ProgID="Excel.Sheet.12" ShapeID="_x0000_i1127" DrawAspect="Content" ObjectID="_1554906203" r:id="rId214"/>
        </w:object>
      </w:r>
    </w:p>
    <w:p w:rsidR="002D306C" w:rsidRDefault="002D306C" w:rsidP="002D306C">
      <w:pPr>
        <w:jc w:val="both"/>
        <w:rPr>
          <w:rFonts w:ascii="Arial" w:hAnsi="Arial" w:cs="Arial"/>
          <w:lang w:val="es-CR"/>
        </w:rPr>
      </w:pPr>
      <w:r>
        <w:rPr>
          <w:rFonts w:ascii="Arial" w:hAnsi="Arial" w:cs="Arial"/>
          <w:lang w:val="es-CR"/>
        </w:rPr>
        <w:t>Las variaciones mostradas corresponden a la amortización de los beneficios por terminación a empleados.</w:t>
      </w:r>
    </w:p>
    <w:p w:rsidR="002D306C" w:rsidRDefault="002D306C" w:rsidP="002D306C">
      <w:pPr>
        <w:jc w:val="both"/>
        <w:rPr>
          <w:rFonts w:ascii="Arial" w:hAnsi="Arial" w:cs="Arial"/>
          <w:lang w:val="es-CR"/>
        </w:rPr>
      </w:pPr>
    </w:p>
    <w:p w:rsidR="002D306C" w:rsidRPr="00CE23EA" w:rsidRDefault="002D306C" w:rsidP="002D306C">
      <w:pPr>
        <w:pStyle w:val="Ttulo3"/>
        <w:jc w:val="both"/>
        <w:rPr>
          <w:color w:val="365F91"/>
        </w:rPr>
      </w:pPr>
      <w:r w:rsidRPr="00CE23EA">
        <w:rPr>
          <w:color w:val="365F91"/>
        </w:rPr>
        <w:t>NOTA No. 23 - Impuesto de Renta</w:t>
      </w:r>
    </w:p>
    <w:p w:rsidR="002D306C" w:rsidRDefault="002D306C" w:rsidP="002D306C">
      <w:pPr>
        <w:pStyle w:val="Textoindependiente"/>
        <w:rPr>
          <w:rFonts w:ascii="Arial" w:hAnsi="Arial" w:cs="Arial"/>
          <w:sz w:val="20"/>
          <w:lang w:val="es-CR"/>
        </w:rPr>
      </w:pPr>
    </w:p>
    <w:p w:rsidR="002D306C" w:rsidRPr="00E633C0" w:rsidRDefault="002D306C" w:rsidP="002D306C">
      <w:pPr>
        <w:pStyle w:val="Textoindependiente"/>
        <w:rPr>
          <w:rFonts w:ascii="Arial" w:hAnsi="Arial" w:cs="Arial"/>
          <w:sz w:val="20"/>
          <w:lang w:val="es-CR"/>
        </w:rPr>
      </w:pPr>
      <w:r w:rsidRPr="00E633C0">
        <w:rPr>
          <w:rFonts w:ascii="Arial" w:hAnsi="Arial" w:cs="Arial"/>
          <w:sz w:val="20"/>
          <w:lang w:val="es-CR"/>
        </w:rPr>
        <w:t>No aplica en este momento.</w:t>
      </w:r>
    </w:p>
    <w:p w:rsidR="002D306C" w:rsidRPr="002D306C" w:rsidRDefault="002D306C" w:rsidP="002D306C">
      <w:pPr>
        <w:pStyle w:val="Textoindependiente"/>
        <w:rPr>
          <w:rFonts w:ascii="Candara" w:hAnsi="Candara" w:cs="Arial"/>
          <w:i/>
          <w:lang w:val="es-ES"/>
        </w:rPr>
      </w:pPr>
    </w:p>
    <w:bookmarkStart w:id="428" w:name="_MON_1490596443"/>
    <w:bookmarkEnd w:id="428"/>
    <w:p w:rsidR="002D306C" w:rsidRPr="00CE23EA" w:rsidRDefault="002D306C" w:rsidP="002D306C">
      <w:pPr>
        <w:jc w:val="both"/>
        <w:rPr>
          <w:color w:val="365F91"/>
        </w:rPr>
      </w:pPr>
      <w:r>
        <w:rPr>
          <w:rFonts w:ascii="Candara" w:hAnsi="Candara" w:cs="Arial"/>
          <w:color w:val="000000"/>
          <w:sz w:val="24"/>
          <w:szCs w:val="24"/>
        </w:rPr>
        <w:object w:dxaOrig="10187" w:dyaOrig="1835">
          <v:shape id="_x0000_i1128" type="#_x0000_t75" style="width:510pt;height:91.5pt" o:ole="">
            <v:imagedata r:id="rId215" o:title=""/>
          </v:shape>
          <o:OLEObject Type="Embed" ProgID="Excel.Sheet.12" ShapeID="_x0000_i1128" DrawAspect="Content" ObjectID="_1554906204" r:id="rId216"/>
        </w:object>
      </w:r>
    </w:p>
    <w:p w:rsidR="002D306C" w:rsidRDefault="002D306C" w:rsidP="002D306C">
      <w:pPr>
        <w:rPr>
          <w:b/>
          <w:bCs/>
          <w:color w:val="365F91"/>
          <w:sz w:val="24"/>
          <w:lang w:val="es-ES"/>
        </w:rPr>
      </w:pPr>
      <w:r>
        <w:rPr>
          <w:color w:val="365F91"/>
        </w:rPr>
        <w:br w:type="page"/>
      </w:r>
    </w:p>
    <w:p w:rsidR="002D306C" w:rsidRPr="00CE23EA" w:rsidRDefault="002D306C" w:rsidP="002D306C">
      <w:pPr>
        <w:pStyle w:val="Ttulo3"/>
        <w:jc w:val="both"/>
        <w:rPr>
          <w:color w:val="365F91"/>
        </w:rPr>
      </w:pPr>
      <w:r w:rsidRPr="00CE23EA">
        <w:rPr>
          <w:color w:val="365F91"/>
        </w:rPr>
        <w:lastRenderedPageBreak/>
        <w:t>NOTA No. 24 - Reservas</w:t>
      </w:r>
    </w:p>
    <w:p w:rsidR="002D306C" w:rsidRDefault="002D306C" w:rsidP="002D306C">
      <w:pPr>
        <w:pStyle w:val="Textoindependiente"/>
        <w:rPr>
          <w:rFonts w:ascii="Arial" w:hAnsi="Arial" w:cs="Arial"/>
          <w:sz w:val="20"/>
          <w:lang w:val="es-CR"/>
        </w:rPr>
      </w:pPr>
    </w:p>
    <w:p w:rsidR="002D306C" w:rsidRDefault="002D306C" w:rsidP="002D306C">
      <w:pPr>
        <w:pStyle w:val="Textoindependiente"/>
        <w:rPr>
          <w:rFonts w:ascii="Arial" w:hAnsi="Arial" w:cs="Arial"/>
          <w:lang w:val="es-CR"/>
        </w:rPr>
      </w:pPr>
      <w:r w:rsidRPr="00E633C0">
        <w:rPr>
          <w:rFonts w:ascii="Arial" w:hAnsi="Arial" w:cs="Arial"/>
          <w:sz w:val="20"/>
          <w:lang w:val="es-CR"/>
        </w:rPr>
        <w:t>No aplica en este momento.</w:t>
      </w:r>
    </w:p>
    <w:p w:rsidR="002D306C" w:rsidRDefault="002D306C" w:rsidP="002D306C">
      <w:pPr>
        <w:pStyle w:val="Textoindependiente"/>
        <w:rPr>
          <w:rFonts w:ascii="Arial" w:hAnsi="Arial" w:cs="Arial"/>
          <w:lang w:val="es-CR"/>
        </w:rPr>
      </w:pPr>
    </w:p>
    <w:bookmarkStart w:id="429" w:name="_MON_1490596451"/>
    <w:bookmarkEnd w:id="429"/>
    <w:p w:rsidR="002D306C" w:rsidRDefault="002D306C" w:rsidP="002D306C">
      <w:pPr>
        <w:jc w:val="both"/>
        <w:rPr>
          <w:rFonts w:ascii="Candara" w:hAnsi="Candara" w:cs="Arial"/>
          <w:i/>
        </w:rPr>
      </w:pPr>
      <w:r>
        <w:rPr>
          <w:rFonts w:ascii="Candara" w:hAnsi="Candara" w:cs="Arial"/>
          <w:color w:val="000000"/>
          <w:sz w:val="24"/>
          <w:szCs w:val="24"/>
        </w:rPr>
        <w:object w:dxaOrig="10187" w:dyaOrig="1835">
          <v:shape id="_x0000_i1129" type="#_x0000_t75" style="width:510pt;height:91.5pt" o:ole="">
            <v:imagedata r:id="rId217" o:title=""/>
          </v:shape>
          <o:OLEObject Type="Embed" ProgID="Excel.Sheet.12" ShapeID="_x0000_i1129" DrawAspect="Content" ObjectID="_1554906205" r:id="rId218"/>
        </w:object>
      </w:r>
    </w:p>
    <w:p w:rsidR="002D306C" w:rsidRDefault="002D306C" w:rsidP="002D306C">
      <w:pPr>
        <w:rPr>
          <w:b/>
          <w:bCs/>
          <w:color w:val="365F91"/>
          <w:sz w:val="24"/>
          <w:lang w:val="es-ES"/>
        </w:rPr>
      </w:pPr>
    </w:p>
    <w:p w:rsidR="002D306C" w:rsidRPr="00CE23EA" w:rsidRDefault="002D306C" w:rsidP="002D306C">
      <w:pPr>
        <w:pStyle w:val="Ttulo3"/>
        <w:jc w:val="both"/>
        <w:rPr>
          <w:color w:val="365F91"/>
        </w:rPr>
      </w:pPr>
      <w:r w:rsidRPr="00CE23EA">
        <w:rPr>
          <w:color w:val="365F91"/>
        </w:rPr>
        <w:t>NOTA No. 25- Superávit (Déficit) neto del periodo</w:t>
      </w:r>
    </w:p>
    <w:p w:rsidR="002D306C" w:rsidRDefault="002D306C" w:rsidP="002D306C">
      <w:pPr>
        <w:spacing w:line="276" w:lineRule="auto"/>
        <w:jc w:val="both"/>
        <w:rPr>
          <w:rFonts w:ascii="Arial" w:hAnsi="Arial" w:cs="Arial"/>
          <w:lang w:val="es-CR"/>
        </w:rPr>
      </w:pPr>
    </w:p>
    <w:p w:rsidR="002D306C" w:rsidRPr="00D66D49" w:rsidRDefault="002D306C" w:rsidP="002D306C">
      <w:pPr>
        <w:spacing w:line="276" w:lineRule="auto"/>
        <w:jc w:val="both"/>
        <w:rPr>
          <w:rFonts w:ascii="Arial" w:hAnsi="Arial" w:cs="Arial"/>
          <w:lang w:val="es-CR"/>
        </w:rPr>
      </w:pPr>
      <w:r w:rsidRPr="00D66D49">
        <w:rPr>
          <w:rFonts w:ascii="Arial" w:hAnsi="Arial" w:cs="Arial"/>
          <w:lang w:val="es-CR"/>
        </w:rPr>
        <w:t>Resultados a partir de unidades monetarias haciendo la diferencia entre ingresos y gastos dentro de un período determinado, obteniendo un superávit o un déficit.</w:t>
      </w:r>
    </w:p>
    <w:p w:rsidR="002D306C" w:rsidRPr="002D306C" w:rsidRDefault="002D306C" w:rsidP="002D306C">
      <w:pPr>
        <w:spacing w:line="276" w:lineRule="auto"/>
        <w:jc w:val="both"/>
        <w:rPr>
          <w:rFonts w:ascii="Arial" w:hAnsi="Arial" w:cs="Arial"/>
          <w:sz w:val="24"/>
          <w:szCs w:val="24"/>
          <w:lang w:val="es-ES"/>
        </w:rPr>
      </w:pPr>
    </w:p>
    <w:bookmarkStart w:id="430" w:name="_MON_1483875707"/>
    <w:bookmarkStart w:id="431" w:name="_MON_1466572662"/>
    <w:bookmarkStart w:id="432" w:name="_MON_1490596462"/>
    <w:bookmarkStart w:id="433" w:name="_MON_1458472304"/>
    <w:bookmarkStart w:id="434" w:name="_MON_1498300849"/>
    <w:bookmarkStart w:id="435" w:name="_MON_1474887852"/>
    <w:bookmarkEnd w:id="430"/>
    <w:bookmarkEnd w:id="431"/>
    <w:bookmarkEnd w:id="432"/>
    <w:bookmarkEnd w:id="433"/>
    <w:bookmarkEnd w:id="434"/>
    <w:bookmarkEnd w:id="435"/>
    <w:bookmarkStart w:id="436" w:name="_MON_1506406002"/>
    <w:bookmarkEnd w:id="436"/>
    <w:p w:rsidR="002D306C" w:rsidRDefault="002D306C" w:rsidP="002D306C">
      <w:pPr>
        <w:jc w:val="both"/>
        <w:rPr>
          <w:rFonts w:ascii="Arial" w:hAnsi="Arial" w:cs="Arial"/>
          <w:lang w:val="es-CR"/>
        </w:rPr>
      </w:pPr>
      <w:r>
        <w:rPr>
          <w:rFonts w:ascii="Candara" w:hAnsi="Candara" w:cs="Arial"/>
          <w:color w:val="000000"/>
          <w:sz w:val="24"/>
          <w:szCs w:val="24"/>
        </w:rPr>
        <w:object w:dxaOrig="10187" w:dyaOrig="1835">
          <v:shape id="_x0000_i1130" type="#_x0000_t75" style="width:510pt;height:91.5pt" o:ole="">
            <v:imagedata r:id="rId219" o:title=""/>
          </v:shape>
          <o:OLEObject Type="Embed" ProgID="Excel.Sheet.12" ShapeID="_x0000_i1130" DrawAspect="Content" ObjectID="_1554906206" r:id="rId220"/>
        </w:object>
      </w:r>
    </w:p>
    <w:p w:rsidR="002D306C" w:rsidRDefault="002D306C" w:rsidP="002D306C">
      <w:pPr>
        <w:jc w:val="both"/>
        <w:rPr>
          <w:rFonts w:ascii="Arial" w:hAnsi="Arial" w:cs="Arial"/>
          <w:lang w:val="es-CR"/>
        </w:rPr>
      </w:pPr>
      <w:r>
        <w:rPr>
          <w:rFonts w:ascii="Arial" w:hAnsi="Arial" w:cs="Arial"/>
          <w:lang w:val="es-CR"/>
        </w:rPr>
        <w:t>Las variaciones mostradas corresponden a diferencias entre los ingresos y gastos del año.</w:t>
      </w:r>
    </w:p>
    <w:p w:rsidR="002D306C" w:rsidRPr="002D306C" w:rsidRDefault="002D306C" w:rsidP="002D306C">
      <w:pPr>
        <w:jc w:val="both"/>
        <w:rPr>
          <w:lang w:val="es-ES"/>
        </w:rPr>
      </w:pPr>
    </w:p>
    <w:p w:rsidR="002D306C" w:rsidRDefault="002D306C">
      <w:pPr>
        <w:rPr>
          <w:rFonts w:ascii="Candara" w:hAnsi="Candara" w:cs="Arial"/>
          <w:color w:val="000000"/>
          <w:sz w:val="24"/>
          <w:szCs w:val="24"/>
          <w:lang w:val="es-ES"/>
        </w:rPr>
      </w:pPr>
      <w:r>
        <w:rPr>
          <w:rFonts w:ascii="Candara" w:hAnsi="Candara" w:cs="Arial"/>
          <w:color w:val="000000"/>
          <w:sz w:val="24"/>
          <w:szCs w:val="24"/>
          <w:lang w:val="es-ES"/>
        </w:rPr>
        <w:br w:type="page"/>
      </w:r>
    </w:p>
    <w:sdt>
      <w:sdtPr>
        <w:rPr>
          <w:rFonts w:ascii="Verdana" w:hAnsi="Verdana" w:cs="Arial"/>
          <w:color w:val="365F91" w:themeColor="accent1" w:themeShade="BF"/>
          <w:sz w:val="24"/>
          <w:lang w:val="es-ES"/>
        </w:rPr>
        <w:alias w:val="Título"/>
        <w:id w:val="77547040"/>
        <w:placeholder>
          <w:docPart w:val="5F164CD3D3A849489F203EC6C9E8AC5D"/>
        </w:placeholder>
        <w:dataBinding w:prefixMappings="xmlns:ns0='http://schemas.openxmlformats.org/package/2006/metadata/core-properties' xmlns:ns1='http://purl.org/dc/elements/1.1/'" w:xpath="/ns0:coreProperties[1]/ns1:title[1]" w:storeItemID="{6C3C8BC8-F283-45AE-878A-BAB7291924A1}"/>
        <w:text/>
      </w:sdtPr>
      <w:sdtContent>
        <w:p w:rsidR="00A61013" w:rsidRPr="00A10FF4" w:rsidRDefault="00A61013" w:rsidP="00A61013">
          <w:pPr>
            <w:pStyle w:val="Encabezado"/>
            <w:spacing w:line="276" w:lineRule="auto"/>
            <w:jc w:val="center"/>
            <w:rPr>
              <w:rFonts w:ascii="Verdana" w:hAnsi="Verdana" w:cs="Arial"/>
              <w:color w:val="365F91" w:themeColor="accent1" w:themeShade="BF"/>
              <w:sz w:val="24"/>
              <w:lang w:val="es-ES"/>
            </w:rPr>
          </w:pPr>
          <w:r>
            <w:rPr>
              <w:rFonts w:ascii="Verdana" w:hAnsi="Verdana" w:cs="Arial"/>
              <w:color w:val="365F91" w:themeColor="accent1" w:themeShade="BF"/>
              <w:sz w:val="24"/>
              <w:lang w:val="es-CR"/>
            </w:rPr>
            <w:t>Nota 1 y 2</w:t>
          </w:r>
        </w:p>
      </w:sdtContent>
    </w:sdt>
    <w:p w:rsidR="00A61013" w:rsidRPr="00A10FF4" w:rsidRDefault="00A61013" w:rsidP="00A61013">
      <w:pPr>
        <w:pStyle w:val="Encabezado"/>
        <w:spacing w:line="276" w:lineRule="auto"/>
        <w:jc w:val="center"/>
        <w:rPr>
          <w:rFonts w:ascii="Verdana" w:hAnsi="Verdana" w:cs="Arial"/>
          <w:color w:val="365F91" w:themeColor="accent1" w:themeShade="BF"/>
          <w:sz w:val="24"/>
          <w:lang w:val="es-ES"/>
        </w:rPr>
      </w:pPr>
      <w:r w:rsidRPr="00A10FF4">
        <w:rPr>
          <w:rFonts w:ascii="Verdana" w:hAnsi="Verdana" w:cs="Arial"/>
          <w:color w:val="365F91" w:themeColor="accent1" w:themeShade="BF"/>
          <w:sz w:val="24"/>
          <w:lang w:val="es-ES"/>
        </w:rPr>
        <w:t>Antecedentes y cumplimiento de la normativa vigente</w:t>
      </w:r>
    </w:p>
    <w:p w:rsidR="00A61013" w:rsidRDefault="00A61013" w:rsidP="002D306C">
      <w:pPr>
        <w:shd w:val="clear" w:color="auto" w:fill="FFFFFF"/>
        <w:spacing w:line="360" w:lineRule="auto"/>
        <w:jc w:val="both"/>
        <w:outlineLvl w:val="2"/>
        <w:rPr>
          <w:rFonts w:ascii="Arial" w:hAnsi="Arial" w:cs="Arial"/>
          <w:b/>
          <w:bCs/>
          <w:color w:val="0070C0"/>
          <w:sz w:val="22"/>
          <w:szCs w:val="22"/>
          <w:lang w:val="es-ES"/>
        </w:rPr>
      </w:pPr>
    </w:p>
    <w:p w:rsidR="00A61013" w:rsidRDefault="00A61013" w:rsidP="002D306C">
      <w:pPr>
        <w:shd w:val="clear" w:color="auto" w:fill="FFFFFF"/>
        <w:spacing w:line="360" w:lineRule="auto"/>
        <w:jc w:val="both"/>
        <w:outlineLvl w:val="2"/>
        <w:rPr>
          <w:rFonts w:ascii="Arial" w:hAnsi="Arial" w:cs="Arial"/>
          <w:b/>
          <w:bCs/>
          <w:color w:val="0070C0"/>
          <w:sz w:val="22"/>
          <w:szCs w:val="22"/>
          <w:lang w:val="es-ES"/>
        </w:rPr>
      </w:pP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t>Nota No. 1</w:t>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t>Antecedentes y generalidades</w:t>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El Archivo Nacional de Costa Rica es una institución desconcentrada del Ministerio de Cultura y Juventud, rectora del Sistema Nacional de Archivos, mediante la Ley No. 5574 del 25 de setiembre de 1974 se  crea la Junta Administrativa del Archivo Nacional, con el objetivo primordial de dotar al Archivo Nacional, de un edificio funcional y seguro.</w:t>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No obstante esta Ley, con la nueva Ley del Sistema Nacional de Archivos No. 7202, del 24 de octubre de 1990, se retoman las funciones y atribuciones de esta Junta Administrativa.</w:t>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t>Objetivos de la institución son los siguientes:</w:t>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Administra el Patrimonio Documental de la Nación y coadyuva en el control del ejercicio notarial en Costa Rica, con la finalidad de preservar y difundir el acervo documental de la nación que garantice el acceso de las personas a la información, la transparencia de la gestión administrativa y sustentar la toma de decisiones, a través de una gestión eficiente.</w:t>
      </w:r>
    </w:p>
    <w:p w:rsidR="002D306C" w:rsidRPr="002D306C" w:rsidRDefault="002D306C" w:rsidP="002D306C">
      <w:pPr>
        <w:shd w:val="clear" w:color="auto" w:fill="FFFFFF"/>
        <w:spacing w:line="360" w:lineRule="auto"/>
        <w:jc w:val="both"/>
        <w:outlineLvl w:val="2"/>
        <w:rPr>
          <w:rFonts w:ascii="Cambria" w:hAnsi="Cambria"/>
          <w:b/>
          <w:bCs/>
          <w:color w:val="365F91"/>
          <w:sz w:val="28"/>
          <w:szCs w:val="28"/>
          <w:lang w:val="es-ES"/>
        </w:rPr>
      </w:pPr>
      <w:bookmarkStart w:id="437" w:name="_Toc236571135"/>
      <w:r w:rsidRPr="002D306C">
        <w:rPr>
          <w:rFonts w:ascii="Arial" w:hAnsi="Arial" w:cs="Arial"/>
          <w:b/>
          <w:bCs/>
          <w:color w:val="0070C0"/>
          <w:sz w:val="22"/>
          <w:szCs w:val="22"/>
          <w:lang w:val="es-ES"/>
        </w:rPr>
        <w:t>Misión</w:t>
      </w:r>
      <w:bookmarkEnd w:id="437"/>
      <w:r w:rsidRPr="002D306C">
        <w:rPr>
          <w:rFonts w:ascii="Cambria" w:hAnsi="Cambria"/>
          <w:b/>
          <w:bCs/>
          <w:color w:val="365F91"/>
          <w:sz w:val="28"/>
          <w:szCs w:val="28"/>
          <w:lang w:val="es-ES"/>
        </w:rPr>
        <w:tab/>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“El Archivo Nacional es una institución desconcentrada del Ministerio de Cultura y Juventud, que reúne, organiza, conserva, facilita y divulga el patrimonio documental de la Nación, a todos los habitantes de Costa Rica, para acrecentar la identidad nacional; promueve el desarrollo archivístico de las instituciones para una administración más transparente y eficiente, y coadyuva en el control del ejercicio Notarial”.</w:t>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bookmarkStart w:id="438" w:name="_Toc236571136"/>
      <w:r w:rsidRPr="002D306C">
        <w:rPr>
          <w:rFonts w:ascii="Arial" w:hAnsi="Arial" w:cs="Arial"/>
          <w:b/>
          <w:bCs/>
          <w:color w:val="0070C0"/>
          <w:sz w:val="22"/>
          <w:szCs w:val="22"/>
          <w:lang w:val="es-ES"/>
        </w:rPr>
        <w:t>Visión</w:t>
      </w:r>
      <w:bookmarkEnd w:id="438"/>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 xml:space="preserve">“El Archivo Nacional de Costa Rica, ejercerá plenamente su rol de rector del Sistema Nacional de Archivos y ofrecerá al habitante costarricense, nuevos y mejores servicios, acrecentando el patrimonio con nuevos fondos y colecciones, mediante el rescate, organización, conservación, facilitación y divulgación. Estos retos los asumirá mediante el mejoramiento de su infraestructura física, tecnológica, un marco legal mejorado adaptado a las necesidades actuales y un recurso humano altamente calificado, comprometido con la eficiencia, transparencia y orientada al cliente.” </w:t>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br w:type="page"/>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lastRenderedPageBreak/>
        <w:t>Nota No. 2</w:t>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t>Normativa Contable</w:t>
      </w:r>
    </w:p>
    <w:p w:rsidR="002D306C" w:rsidRPr="002B69CD" w:rsidRDefault="002D306C" w:rsidP="002D306C">
      <w:pPr>
        <w:shd w:val="clear" w:color="auto" w:fill="FFFFFF"/>
        <w:outlineLvl w:val="2"/>
        <w:rPr>
          <w:rFonts w:ascii="Arial" w:hAnsi="Arial" w:cs="Arial"/>
          <w:b/>
          <w:bCs/>
          <w:color w:val="0070C0"/>
        </w:rPr>
      </w:pPr>
    </w:p>
    <w:tbl>
      <w:tblPr>
        <w:tblStyle w:val="Cuadrculaclara-nfasis1"/>
        <w:tblW w:w="0" w:type="auto"/>
        <w:tblLook w:val="04A0" w:firstRow="1" w:lastRow="0" w:firstColumn="1" w:lastColumn="0" w:noHBand="0" w:noVBand="1"/>
      </w:tblPr>
      <w:tblGrid>
        <w:gridCol w:w="3227"/>
        <w:gridCol w:w="3118"/>
        <w:gridCol w:w="1418"/>
        <w:gridCol w:w="1291"/>
      </w:tblGrid>
      <w:tr w:rsidR="002D306C" w:rsidRPr="004B45CB" w:rsidTr="00633610">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054" w:type="dxa"/>
            <w:gridSpan w:val="4"/>
          </w:tcPr>
          <w:p w:rsidR="002D306C" w:rsidRPr="004B45CB" w:rsidRDefault="002D306C" w:rsidP="00633610">
            <w:pPr>
              <w:jc w:val="center"/>
              <w:rPr>
                <w:rFonts w:ascii="Arial" w:hAnsi="Arial" w:cs="Arial"/>
                <w:sz w:val="18"/>
                <w:szCs w:val="18"/>
                <w:lang w:val="es-CR" w:eastAsia="es-CR"/>
              </w:rPr>
            </w:pPr>
            <w:r w:rsidRPr="004B45CB">
              <w:rPr>
                <w:rFonts w:ascii="Arial" w:hAnsi="Arial" w:cs="Arial"/>
                <w:sz w:val="18"/>
                <w:szCs w:val="18"/>
                <w:lang w:val="es-CR" w:eastAsia="es-CR"/>
              </w:rPr>
              <w:t>NORMATIVA CONTABLE VIGENTE 2014</w:t>
            </w: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633610">
            <w:pPr>
              <w:jc w:val="center"/>
              <w:rPr>
                <w:rFonts w:ascii="Arial" w:hAnsi="Arial" w:cs="Arial"/>
                <w:sz w:val="18"/>
                <w:szCs w:val="18"/>
                <w:lang w:val="es-CR" w:eastAsia="es-CR"/>
              </w:rPr>
            </w:pPr>
            <w:r>
              <w:rPr>
                <w:rFonts w:ascii="Arial" w:hAnsi="Arial" w:cs="Arial"/>
                <w:sz w:val="18"/>
                <w:szCs w:val="18"/>
                <w:lang w:val="es-CR" w:eastAsia="es-CR"/>
              </w:rPr>
              <w:t>Normativa</w:t>
            </w:r>
          </w:p>
        </w:tc>
        <w:tc>
          <w:tcPr>
            <w:tcW w:w="3118" w:type="dxa"/>
          </w:tcPr>
          <w:p w:rsidR="002D306C" w:rsidRPr="002D306C" w:rsidRDefault="002D306C" w:rsidP="006336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2B69CD">
              <w:rPr>
                <w:rFonts w:ascii="Arial" w:hAnsi="Arial" w:cs="Arial"/>
                <w:b/>
                <w:sz w:val="18"/>
                <w:szCs w:val="18"/>
                <w:lang w:val="es-CR" w:eastAsia="es-CR"/>
              </w:rPr>
              <w:t>Descripción</w:t>
            </w:r>
          </w:p>
        </w:tc>
        <w:tc>
          <w:tcPr>
            <w:tcW w:w="2709" w:type="dxa"/>
            <w:gridSpan w:val="2"/>
          </w:tcPr>
          <w:p w:rsidR="002D306C" w:rsidRPr="002D306C" w:rsidRDefault="002D306C" w:rsidP="0063361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2B69CD">
              <w:rPr>
                <w:rFonts w:ascii="Arial" w:hAnsi="Arial" w:cs="Arial"/>
                <w:b/>
                <w:sz w:val="18"/>
                <w:szCs w:val="18"/>
                <w:lang w:val="es-CR" w:eastAsia="es-CR"/>
              </w:rPr>
              <w:t>Aplicación de la normativa</w:t>
            </w: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633610">
            <w:pPr>
              <w:rPr>
                <w:rFonts w:ascii="Arial" w:hAnsi="Arial" w:cs="Arial"/>
                <w:sz w:val="18"/>
                <w:szCs w:val="18"/>
                <w:lang w:val="es-CR" w:eastAsia="es-CR"/>
              </w:rPr>
            </w:pPr>
          </w:p>
        </w:tc>
        <w:tc>
          <w:tcPr>
            <w:tcW w:w="3118" w:type="dxa"/>
          </w:tcPr>
          <w:p w:rsidR="002D306C" w:rsidRPr="004B45CB" w:rsidRDefault="002D306C" w:rsidP="00633610">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p>
        </w:tc>
        <w:tc>
          <w:tcPr>
            <w:tcW w:w="1418" w:type="dxa"/>
          </w:tcPr>
          <w:p w:rsidR="002D306C" w:rsidRPr="002B69CD" w:rsidRDefault="002D306C" w:rsidP="00633610">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u w:val="single"/>
                <w:lang w:val="es-CR" w:eastAsia="es-CR"/>
              </w:rPr>
            </w:pPr>
            <w:r w:rsidRPr="002B69CD">
              <w:rPr>
                <w:rFonts w:ascii="Arial" w:hAnsi="Arial" w:cs="Arial"/>
                <w:b/>
                <w:sz w:val="18"/>
                <w:szCs w:val="18"/>
                <w:u w:val="single"/>
                <w:lang w:val="es-CR" w:eastAsia="es-CR"/>
              </w:rPr>
              <w:t>Sí</w:t>
            </w:r>
          </w:p>
        </w:tc>
        <w:tc>
          <w:tcPr>
            <w:tcW w:w="1291" w:type="dxa"/>
          </w:tcPr>
          <w:p w:rsidR="002D306C" w:rsidRPr="002B69CD" w:rsidRDefault="002D306C" w:rsidP="00633610">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u w:val="single"/>
                <w:lang w:val="es-CR" w:eastAsia="es-CR"/>
              </w:rPr>
            </w:pPr>
            <w:r w:rsidRPr="002B69CD">
              <w:rPr>
                <w:rFonts w:ascii="Arial" w:hAnsi="Arial" w:cs="Arial"/>
                <w:b/>
                <w:sz w:val="18"/>
                <w:szCs w:val="18"/>
                <w:u w:val="single"/>
                <w:lang w:val="es-CR" w:eastAsia="es-CR"/>
              </w:rPr>
              <w:t>No</w:t>
            </w: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Decreto #34460-H</w:t>
            </w:r>
            <w:r>
              <w:rPr>
                <w:rFonts w:ascii="Arial" w:hAnsi="Arial" w:cs="Arial"/>
                <w:sz w:val="18"/>
                <w:szCs w:val="18"/>
                <w:lang w:val="es-CR" w:eastAsia="es-CR"/>
              </w:rPr>
              <w:t xml:space="preserve"> / </w:t>
            </w:r>
            <w:r w:rsidRPr="004B45CB">
              <w:rPr>
                <w:rFonts w:ascii="Arial" w:hAnsi="Arial" w:cs="Arial"/>
                <w:sz w:val="18"/>
                <w:szCs w:val="18"/>
                <w:lang w:val="es-CR" w:eastAsia="es-CR"/>
              </w:rPr>
              <w:t>Directriz CN-004-2007</w:t>
            </w:r>
          </w:p>
        </w:tc>
        <w:tc>
          <w:tcPr>
            <w:tcW w:w="3118"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Principios de contabilidad aplicables al sector público costarricense</w:t>
            </w:r>
          </w:p>
        </w:tc>
        <w:tc>
          <w:tcPr>
            <w:tcW w:w="1418" w:type="dxa"/>
          </w:tcPr>
          <w:p w:rsidR="002D306C" w:rsidRPr="002D306C"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Circular 003-2009</w:t>
            </w:r>
          </w:p>
        </w:tc>
        <w:tc>
          <w:tcPr>
            <w:tcW w:w="3118"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Reg</w:t>
            </w:r>
            <w:r>
              <w:rPr>
                <w:rFonts w:ascii="Arial" w:hAnsi="Arial" w:cs="Arial"/>
                <w:sz w:val="18"/>
                <w:szCs w:val="18"/>
                <w:lang w:val="es-CR" w:eastAsia="es-CR"/>
              </w:rPr>
              <w:t>istro de ingresos por donación,</w:t>
            </w:r>
            <w:r w:rsidRPr="004B45CB">
              <w:rPr>
                <w:rFonts w:ascii="Arial" w:hAnsi="Arial" w:cs="Arial"/>
                <w:sz w:val="18"/>
                <w:szCs w:val="18"/>
                <w:lang w:val="es-CR" w:eastAsia="es-CR"/>
              </w:rPr>
              <w:t xml:space="preserve"> regalos en especie y registro de activos</w:t>
            </w:r>
          </w:p>
        </w:tc>
        <w:tc>
          <w:tcPr>
            <w:tcW w:w="1418" w:type="dxa"/>
          </w:tcPr>
          <w:p w:rsidR="002D306C" w:rsidRPr="004B45CB"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633610">
            <w:pP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Circular 014-2009</w:t>
            </w:r>
          </w:p>
        </w:tc>
        <w:tc>
          <w:tcPr>
            <w:tcW w:w="3118"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Registro contable para licencias de software</w:t>
            </w:r>
          </w:p>
        </w:tc>
        <w:tc>
          <w:tcPr>
            <w:tcW w:w="1418" w:type="dxa"/>
          </w:tcPr>
          <w:p w:rsidR="002D306C" w:rsidRPr="002D306C"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4B45CB" w:rsidRDefault="002D306C" w:rsidP="0063361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3227" w:type="dxa"/>
            <w:vMerge w:val="restart"/>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CN-001-2005</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Registro de Bienes Duraderos</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3227" w:type="dxa"/>
            <w:vMerge/>
          </w:tcPr>
          <w:p w:rsidR="002D306C" w:rsidRPr="004B45CB" w:rsidRDefault="002D306C" w:rsidP="002D306C">
            <w:pPr>
              <w:spacing w:after="200" w:line="360" w:lineRule="auto"/>
              <w:rPr>
                <w:rFonts w:ascii="Arial" w:hAnsi="Arial" w:cs="Arial"/>
                <w:sz w:val="18"/>
                <w:szCs w:val="18"/>
                <w:lang w:val="es-CR" w:eastAsia="es-CR"/>
              </w:rPr>
            </w:pP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Confirmación de saldos y presentación de auxiliares</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CN-001-2005</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Registro amortización del servicio de deuda pública</w:t>
            </w:r>
          </w:p>
        </w:tc>
        <w:tc>
          <w:tcPr>
            <w:tcW w:w="14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c>
          <w:tcPr>
            <w:tcW w:w="1291"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CN-001-2006</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Registro de las operaciones bajo criterio de partida doble</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CN-002-2006</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Activos y Pasivos Contingentes</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CN-002-2007 Inventarios</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Método de valuación, reconocimiento, clasificación y registro</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CN-003-2007</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Cuentas, provisiones y contingentes</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CN-001-2009</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Valoración, revaluación, depreciación de propiedad, planta y equipo</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CN-001-2010</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Conciliación de bienes duraderos con SIBINET</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CN-002-2010</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Registro de obras en proceso</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lastRenderedPageBreak/>
              <w:t>Directriz CN-003-2010</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Registro contable de los arrendamientos</w:t>
            </w:r>
          </w:p>
        </w:tc>
        <w:tc>
          <w:tcPr>
            <w:tcW w:w="14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CN-005-2010</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Conciliación de cuentas reciprocas entre instituciones públicas y la aplicación del devengo</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CN-002-2011</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Valuadores especialistas y otros</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CN-005-2011</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Clasificación de los activos y pasivos corrientes (o circulantes o de corto plazo)</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CN-006-2011 complementaria de CN-001-2009 y CN-002-2011</w:t>
            </w:r>
          </w:p>
        </w:tc>
        <w:tc>
          <w:tcPr>
            <w:tcW w:w="3118"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Revaluación de activos</w:t>
            </w:r>
          </w:p>
        </w:tc>
        <w:tc>
          <w:tcPr>
            <w:tcW w:w="1418" w:type="dxa"/>
          </w:tcPr>
          <w:p w:rsidR="002D306C" w:rsidRPr="002D306C"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CN-003-2012 derogatoria Directriz CN-001-2007</w:t>
            </w:r>
          </w:p>
        </w:tc>
        <w:tc>
          <w:tcPr>
            <w:tcW w:w="3118"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Creación y métodos de la estimación para cuentas incobrables</w:t>
            </w:r>
          </w:p>
        </w:tc>
        <w:tc>
          <w:tcPr>
            <w:tcW w:w="1418" w:type="dxa"/>
          </w:tcPr>
          <w:p w:rsidR="002D306C" w:rsidRPr="004B45CB"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CN-002-2013</w:t>
            </w:r>
          </w:p>
        </w:tc>
        <w:tc>
          <w:tcPr>
            <w:tcW w:w="3118"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Generación de la previsión de incobrabilidad sobre cuentas a cobrar</w:t>
            </w:r>
          </w:p>
        </w:tc>
        <w:tc>
          <w:tcPr>
            <w:tcW w:w="1418" w:type="dxa"/>
          </w:tcPr>
          <w:p w:rsidR="002D306C" w:rsidRPr="004B45CB"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CN-006-2013</w:t>
            </w:r>
          </w:p>
        </w:tc>
        <w:tc>
          <w:tcPr>
            <w:tcW w:w="3118"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Registro de transacciones en moneda extranjera</w:t>
            </w:r>
          </w:p>
        </w:tc>
        <w:tc>
          <w:tcPr>
            <w:tcW w:w="1418" w:type="dxa"/>
          </w:tcPr>
          <w:p w:rsidR="002D306C" w:rsidRPr="002D306C"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CN-001-2014</w:t>
            </w:r>
          </w:p>
        </w:tc>
        <w:tc>
          <w:tcPr>
            <w:tcW w:w="3118"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sidRPr="004B45CB">
              <w:rPr>
                <w:rFonts w:ascii="Arial" w:hAnsi="Arial" w:cs="Arial"/>
                <w:sz w:val="18"/>
                <w:szCs w:val="18"/>
                <w:lang w:val="es-CR" w:eastAsia="es-CR"/>
              </w:rPr>
              <w:t>Contingencias y provisiones</w:t>
            </w:r>
          </w:p>
        </w:tc>
        <w:tc>
          <w:tcPr>
            <w:tcW w:w="1418" w:type="dxa"/>
          </w:tcPr>
          <w:p w:rsidR="002D306C" w:rsidRPr="004B45CB"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tcPr>
          <w:p w:rsidR="002D306C" w:rsidRPr="004B45CB" w:rsidRDefault="002D306C" w:rsidP="002D306C">
            <w:pPr>
              <w:spacing w:after="200" w:line="360" w:lineRule="auto"/>
              <w:rPr>
                <w:rFonts w:ascii="Arial" w:hAnsi="Arial" w:cs="Arial"/>
                <w:sz w:val="18"/>
                <w:szCs w:val="18"/>
                <w:lang w:val="es-CR" w:eastAsia="es-CR"/>
              </w:rPr>
            </w:pPr>
            <w:r w:rsidRPr="004B45CB">
              <w:rPr>
                <w:rFonts w:ascii="Arial" w:hAnsi="Arial" w:cs="Arial"/>
                <w:sz w:val="18"/>
                <w:szCs w:val="18"/>
                <w:lang w:val="es-CR" w:eastAsia="es-CR"/>
              </w:rPr>
              <w:t>Directriz CN-004-2014</w:t>
            </w:r>
          </w:p>
        </w:tc>
        <w:tc>
          <w:tcPr>
            <w:tcW w:w="3118"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Cumplimiento de plazos establecidos</w:t>
            </w:r>
          </w:p>
        </w:tc>
        <w:tc>
          <w:tcPr>
            <w:tcW w:w="1418" w:type="dxa"/>
          </w:tcPr>
          <w:p w:rsidR="002D306C" w:rsidRPr="002D306C"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p>
        </w:tc>
      </w:tr>
      <w:tr w:rsidR="002D306C" w:rsidRPr="004B45CB" w:rsidTr="00633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2D306C" w:rsidRPr="004B45CB" w:rsidRDefault="002D306C" w:rsidP="002D306C">
            <w:pPr>
              <w:spacing w:after="200" w:line="360" w:lineRule="auto"/>
              <w:rPr>
                <w:rFonts w:ascii="Arial" w:hAnsi="Arial" w:cs="Arial"/>
                <w:sz w:val="18"/>
                <w:szCs w:val="18"/>
                <w:lang w:val="es-CR" w:eastAsia="es-CR"/>
              </w:rPr>
            </w:pPr>
          </w:p>
        </w:tc>
        <w:tc>
          <w:tcPr>
            <w:tcW w:w="3118"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EEFF completos y firmados</w:t>
            </w:r>
          </w:p>
        </w:tc>
        <w:tc>
          <w:tcPr>
            <w:tcW w:w="1418" w:type="dxa"/>
          </w:tcPr>
          <w:p w:rsidR="002D306C" w:rsidRPr="004B45CB" w:rsidRDefault="002D306C" w:rsidP="002D306C">
            <w:pPr>
              <w:spacing w:after="200"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r>
              <w:rPr>
                <w:rFonts w:ascii="Arial" w:hAnsi="Arial" w:cs="Arial"/>
                <w:sz w:val="18"/>
                <w:szCs w:val="18"/>
                <w:lang w:val="es-CR" w:eastAsia="es-CR"/>
              </w:rPr>
              <w:t>X</w:t>
            </w:r>
          </w:p>
        </w:tc>
        <w:tc>
          <w:tcPr>
            <w:tcW w:w="1291" w:type="dxa"/>
          </w:tcPr>
          <w:p w:rsidR="002D306C" w:rsidRPr="004B45CB" w:rsidRDefault="002D306C" w:rsidP="002D306C">
            <w:pPr>
              <w:spacing w:after="200"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18"/>
                <w:szCs w:val="18"/>
                <w:lang w:val="es-CR" w:eastAsia="es-CR"/>
              </w:rPr>
            </w:pPr>
          </w:p>
        </w:tc>
      </w:tr>
      <w:tr w:rsidR="002D306C" w:rsidRPr="004B45CB" w:rsidTr="00633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2D306C" w:rsidRPr="004B45CB" w:rsidRDefault="002D306C" w:rsidP="002D306C">
            <w:pPr>
              <w:spacing w:after="200" w:line="360" w:lineRule="auto"/>
              <w:rPr>
                <w:rFonts w:ascii="Arial" w:hAnsi="Arial" w:cs="Arial"/>
                <w:sz w:val="18"/>
                <w:szCs w:val="18"/>
                <w:lang w:val="es-CR" w:eastAsia="es-CR"/>
              </w:rPr>
            </w:pPr>
          </w:p>
        </w:tc>
        <w:tc>
          <w:tcPr>
            <w:tcW w:w="3118"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Auxiliares e información solicitada según lo indica Artículo 3</w:t>
            </w:r>
          </w:p>
        </w:tc>
        <w:tc>
          <w:tcPr>
            <w:tcW w:w="1418" w:type="dxa"/>
          </w:tcPr>
          <w:p w:rsidR="002D306C" w:rsidRPr="002D306C" w:rsidRDefault="002D306C" w:rsidP="002D306C">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r w:rsidRPr="002D306C">
              <w:rPr>
                <w:rFonts w:ascii="Arial" w:eastAsiaTheme="majorEastAsia" w:hAnsi="Arial" w:cs="Arial"/>
                <w:b/>
                <w:bCs/>
                <w:sz w:val="18"/>
                <w:szCs w:val="18"/>
                <w:lang w:val="es-CR" w:eastAsia="es-CR"/>
              </w:rPr>
              <w:t>X</w:t>
            </w:r>
          </w:p>
        </w:tc>
        <w:tc>
          <w:tcPr>
            <w:tcW w:w="1291" w:type="dxa"/>
          </w:tcPr>
          <w:p w:rsidR="002D306C" w:rsidRPr="002D306C" w:rsidRDefault="002D306C" w:rsidP="002D306C">
            <w:pPr>
              <w:spacing w:after="200"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sz w:val="18"/>
                <w:szCs w:val="18"/>
                <w:lang w:val="es-CR" w:eastAsia="es-CR"/>
              </w:rPr>
            </w:pPr>
          </w:p>
        </w:tc>
      </w:tr>
    </w:tbl>
    <w:p w:rsidR="002D306C" w:rsidRDefault="002D306C" w:rsidP="002D306C">
      <w:pPr>
        <w:outlineLvl w:val="0"/>
        <w:rPr>
          <w:rFonts w:ascii="Arial" w:hAnsi="Arial" w:cs="Arial"/>
          <w:b/>
          <w:bCs/>
          <w:color w:val="0070C0"/>
        </w:rPr>
      </w:pPr>
    </w:p>
    <w:p w:rsidR="002D306C" w:rsidRDefault="002D306C" w:rsidP="002D306C">
      <w:r>
        <w:br w:type="page"/>
      </w:r>
    </w:p>
    <w:p w:rsidR="002D306C" w:rsidRPr="002D306C" w:rsidRDefault="002D306C" w:rsidP="002D306C">
      <w:pPr>
        <w:shd w:val="clear" w:color="auto" w:fill="FFFFFF"/>
        <w:spacing w:line="360" w:lineRule="auto"/>
        <w:jc w:val="both"/>
        <w:outlineLvl w:val="2"/>
        <w:rPr>
          <w:rFonts w:ascii="Arial" w:hAnsi="Arial" w:cs="Arial"/>
          <w:b/>
          <w:bCs/>
          <w:color w:val="0070C0"/>
          <w:sz w:val="22"/>
          <w:szCs w:val="22"/>
          <w:lang w:val="es-ES"/>
        </w:rPr>
      </w:pPr>
      <w:r w:rsidRPr="002D306C">
        <w:rPr>
          <w:rFonts w:ascii="Arial" w:hAnsi="Arial" w:cs="Arial"/>
          <w:b/>
          <w:bCs/>
          <w:color w:val="0070C0"/>
          <w:sz w:val="22"/>
          <w:szCs w:val="22"/>
          <w:lang w:val="es-ES"/>
        </w:rPr>
        <w:lastRenderedPageBreak/>
        <w:t>Unidad de Medida</w:t>
      </w:r>
    </w:p>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r w:rsidRPr="002D306C">
        <w:rPr>
          <w:rFonts w:ascii="Arial" w:hAnsi="Arial" w:cs="Arial"/>
          <w:sz w:val="22"/>
          <w:szCs w:val="24"/>
          <w:lang w:val="es-CR" w:eastAsia="en-US"/>
        </w:rPr>
        <w:t>Los estados financieros y sus notas se expresan en miles de colones, el Colón (¢) la unidad Monetaria de la República de Costa Rica, en los casos que existan créditos u obligaciones en monedas de otros países, la contabilización de éstas debe efectuarse al valor del tipo de cambio oficial de las monedas contratadas con respecto al colón  y mantenerse  un auxiliar de control en moneda extranjera que corresponda al endeudamiento público. Además, se debe señalar mediante notas al pie de los estados financieros de eventos no cuantificables que sean muy significativos, la paridad del colón con el dólar estadounidense se determina en un mercado cambiario libre bajo la supervisión del Banco Central de Costa Rica (BCCR). A la fecha de cierre de estos estados financieros el tipo de cambio se estableció:</w:t>
      </w:r>
    </w:p>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p>
    <w:tbl>
      <w:tblPr>
        <w:tblW w:w="3865" w:type="dxa"/>
        <w:jc w:val="center"/>
        <w:tblCellMar>
          <w:left w:w="70" w:type="dxa"/>
          <w:right w:w="70" w:type="dxa"/>
        </w:tblCellMar>
        <w:tblLook w:val="04A0" w:firstRow="1" w:lastRow="0" w:firstColumn="1" w:lastColumn="0" w:noHBand="0" w:noVBand="1"/>
      </w:tblPr>
      <w:tblGrid>
        <w:gridCol w:w="2633"/>
        <w:gridCol w:w="1232"/>
      </w:tblGrid>
      <w:tr w:rsidR="002D306C" w:rsidRPr="002D306C" w:rsidTr="00633610">
        <w:trPr>
          <w:trHeight w:val="321"/>
          <w:jc w:val="center"/>
        </w:trPr>
        <w:tc>
          <w:tcPr>
            <w:tcW w:w="2633" w:type="dxa"/>
            <w:hideMark/>
          </w:tcPr>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r w:rsidRPr="002D306C">
              <w:rPr>
                <w:rFonts w:ascii="Arial" w:hAnsi="Arial" w:cs="Arial"/>
                <w:sz w:val="22"/>
                <w:szCs w:val="24"/>
                <w:lang w:val="es-CR" w:eastAsia="en-US"/>
              </w:rPr>
              <w:t xml:space="preserve">Compra Dólares         </w:t>
            </w:r>
          </w:p>
        </w:tc>
        <w:tc>
          <w:tcPr>
            <w:tcW w:w="1232" w:type="dxa"/>
            <w:hideMark/>
          </w:tcPr>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r w:rsidRPr="002D306C">
              <w:rPr>
                <w:rFonts w:ascii="Arial" w:hAnsi="Arial" w:cs="Arial"/>
                <w:sz w:val="22"/>
                <w:szCs w:val="24"/>
                <w:lang w:val="es-CR" w:eastAsia="en-US"/>
              </w:rPr>
              <w:t>¢548.18</w:t>
            </w:r>
          </w:p>
        </w:tc>
      </w:tr>
      <w:tr w:rsidR="002D306C" w:rsidRPr="002D306C" w:rsidTr="00633610">
        <w:trPr>
          <w:trHeight w:val="321"/>
          <w:jc w:val="center"/>
        </w:trPr>
        <w:tc>
          <w:tcPr>
            <w:tcW w:w="2633" w:type="dxa"/>
            <w:hideMark/>
          </w:tcPr>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r w:rsidRPr="002D306C">
              <w:rPr>
                <w:rFonts w:ascii="Arial" w:hAnsi="Arial" w:cs="Arial"/>
                <w:sz w:val="22"/>
                <w:szCs w:val="24"/>
                <w:lang w:val="es-CR" w:eastAsia="en-US"/>
              </w:rPr>
              <w:t xml:space="preserve">Venta Dólares              </w:t>
            </w:r>
          </w:p>
        </w:tc>
        <w:tc>
          <w:tcPr>
            <w:tcW w:w="1232" w:type="dxa"/>
            <w:hideMark/>
          </w:tcPr>
          <w:p w:rsidR="002D306C" w:rsidRPr="002D306C" w:rsidRDefault="002D306C" w:rsidP="002D306C">
            <w:pPr>
              <w:shd w:val="clear" w:color="auto" w:fill="FFFFFF"/>
              <w:spacing w:line="360" w:lineRule="auto"/>
              <w:jc w:val="both"/>
              <w:outlineLvl w:val="2"/>
              <w:rPr>
                <w:rFonts w:ascii="Arial" w:hAnsi="Arial" w:cs="Arial"/>
                <w:sz w:val="22"/>
                <w:szCs w:val="24"/>
                <w:lang w:val="es-CR" w:eastAsia="en-US"/>
              </w:rPr>
            </w:pPr>
            <w:r w:rsidRPr="002D306C">
              <w:rPr>
                <w:rFonts w:ascii="Arial" w:hAnsi="Arial" w:cs="Arial"/>
                <w:sz w:val="22"/>
                <w:szCs w:val="24"/>
                <w:lang w:val="es-CR" w:eastAsia="en-US"/>
              </w:rPr>
              <w:t>¢561.10</w:t>
            </w:r>
          </w:p>
        </w:tc>
      </w:tr>
      <w:tr w:rsidR="002D306C" w:rsidRPr="00C2009E" w:rsidTr="00633610">
        <w:trPr>
          <w:trHeight w:val="321"/>
          <w:jc w:val="center"/>
        </w:trPr>
        <w:tc>
          <w:tcPr>
            <w:tcW w:w="2633" w:type="dxa"/>
          </w:tcPr>
          <w:p w:rsidR="002D306C" w:rsidRPr="00C2009E" w:rsidRDefault="002D306C" w:rsidP="00633610">
            <w:pPr>
              <w:rPr>
                <w:rFonts w:ascii="Arial" w:hAnsi="Arial" w:cs="Arial"/>
                <w:szCs w:val="24"/>
                <w:lang w:val="es-CR"/>
              </w:rPr>
            </w:pPr>
          </w:p>
        </w:tc>
        <w:tc>
          <w:tcPr>
            <w:tcW w:w="1232" w:type="dxa"/>
          </w:tcPr>
          <w:p w:rsidR="002D306C" w:rsidRPr="00C2009E" w:rsidRDefault="002D306C" w:rsidP="00633610">
            <w:pPr>
              <w:jc w:val="right"/>
              <w:rPr>
                <w:rFonts w:ascii="Arial" w:hAnsi="Arial" w:cs="Arial"/>
                <w:szCs w:val="24"/>
                <w:lang w:val="es-CR"/>
              </w:rPr>
            </w:pPr>
          </w:p>
        </w:tc>
      </w:tr>
    </w:tbl>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Los activos en US dólares al cierre de estos estados financieros fueron valuados a los tipos de cambio de compra y los pasivos en US dólares al cierre de estos estados financieros fueron valuados a los tipos de cambio de venta vigentes. Los activos y pasivos denominados en monedas distintas al US dólar fueron convertidos previamente a esa moneda a los tipos de cambio vigentes a esas fechas.</w:t>
      </w:r>
    </w:p>
    <w:p w:rsidR="002D306C" w:rsidRPr="002D306C" w:rsidRDefault="002D306C" w:rsidP="002D306C">
      <w:pPr>
        <w:spacing w:after="200" w:line="360" w:lineRule="auto"/>
        <w:jc w:val="both"/>
        <w:rPr>
          <w:rFonts w:ascii="Arial" w:hAnsi="Arial" w:cs="Arial"/>
          <w:b/>
          <w:bCs/>
          <w:color w:val="0070C0"/>
          <w:sz w:val="22"/>
          <w:szCs w:val="22"/>
          <w:lang w:val="es-ES"/>
        </w:rPr>
      </w:pPr>
      <w:r w:rsidRPr="002D306C">
        <w:rPr>
          <w:rFonts w:ascii="Arial" w:hAnsi="Arial" w:cs="Arial"/>
          <w:b/>
          <w:bCs/>
          <w:color w:val="0070C0"/>
          <w:sz w:val="22"/>
          <w:szCs w:val="22"/>
          <w:lang w:val="es-ES"/>
        </w:rPr>
        <w:t>Hechos Posteriores al Cierre</w:t>
      </w:r>
    </w:p>
    <w:p w:rsidR="002D306C" w:rsidRPr="002D306C" w:rsidRDefault="002D306C" w:rsidP="002D306C">
      <w:pPr>
        <w:spacing w:after="200" w:line="360" w:lineRule="auto"/>
        <w:jc w:val="both"/>
        <w:rPr>
          <w:rFonts w:ascii="Arial" w:hAnsi="Arial" w:cs="Arial"/>
          <w:sz w:val="22"/>
          <w:szCs w:val="24"/>
          <w:lang w:val="es-CR" w:eastAsia="en-US"/>
        </w:rPr>
      </w:pPr>
      <w:r w:rsidRPr="002D306C">
        <w:rPr>
          <w:rFonts w:ascii="Arial" w:hAnsi="Arial" w:cs="Arial"/>
          <w:sz w:val="22"/>
          <w:szCs w:val="24"/>
          <w:lang w:val="es-CR" w:eastAsia="en-US"/>
        </w:rPr>
        <w:t>La información conocida con posterioridad a la fecha de cierre y antes de la fecha límite para  la presentación de los informes contables dadas por la legislación vigente o por la normativa establecida según el órgano rector del sistema y que suministren evidencia adicional sobre condiciones que existían antes de la fecha de cierre,  deben reconocerse en el mismo período.</w:t>
      </w:r>
    </w:p>
    <w:p w:rsidR="002D306C" w:rsidRPr="002D306C" w:rsidRDefault="002D306C" w:rsidP="002D306C">
      <w:pPr>
        <w:spacing w:after="200" w:line="360" w:lineRule="auto"/>
        <w:jc w:val="both"/>
        <w:rPr>
          <w:rFonts w:ascii="Arial" w:hAnsi="Arial" w:cs="Arial"/>
          <w:b/>
          <w:bCs/>
          <w:color w:val="0070C0"/>
          <w:sz w:val="22"/>
          <w:szCs w:val="22"/>
          <w:lang w:val="es-ES"/>
        </w:rPr>
      </w:pPr>
      <w:r w:rsidRPr="002D306C">
        <w:rPr>
          <w:rFonts w:ascii="Arial" w:hAnsi="Arial" w:cs="Arial"/>
          <w:b/>
          <w:bCs/>
          <w:color w:val="0070C0"/>
          <w:sz w:val="22"/>
          <w:szCs w:val="22"/>
          <w:lang w:val="es-ES"/>
        </w:rPr>
        <w:t>Cumplimiento de las Normas Internacionales de Contabilidad para el Sector Público</w:t>
      </w:r>
    </w:p>
    <w:p w:rsidR="002D306C" w:rsidRPr="002D306C" w:rsidRDefault="002D306C" w:rsidP="002D306C">
      <w:pPr>
        <w:spacing w:line="360" w:lineRule="auto"/>
        <w:rPr>
          <w:rFonts w:ascii="Arial" w:hAnsi="Arial" w:cs="Arial"/>
          <w:sz w:val="22"/>
          <w:szCs w:val="24"/>
          <w:lang w:val="es-CR" w:eastAsia="en-US"/>
        </w:rPr>
      </w:pPr>
      <w:r w:rsidRPr="002D306C">
        <w:rPr>
          <w:rFonts w:ascii="Arial" w:hAnsi="Arial" w:cs="Arial"/>
          <w:sz w:val="22"/>
          <w:szCs w:val="24"/>
          <w:lang w:val="es-CR" w:eastAsia="en-US"/>
        </w:rPr>
        <w:t xml:space="preserve">Los presentes Estados Financieros son elaborados bajo las Normas Internacionales de Contabilidad del Sector Público (NICSP) y directrices emitidas por el órgano rector y técnico de la Contabilidad Nacional. </w:t>
      </w:r>
    </w:p>
    <w:p w:rsidR="002D306C" w:rsidRPr="002D306C" w:rsidRDefault="002D306C" w:rsidP="002D306C">
      <w:pPr>
        <w:spacing w:line="360" w:lineRule="auto"/>
        <w:rPr>
          <w:rFonts w:ascii="Arial" w:hAnsi="Arial" w:cs="Arial"/>
          <w:sz w:val="22"/>
          <w:szCs w:val="24"/>
          <w:lang w:val="es-CR" w:eastAsia="en-US"/>
        </w:rPr>
      </w:pPr>
    </w:p>
    <w:p w:rsidR="002D306C" w:rsidRPr="002D306C" w:rsidRDefault="002D306C" w:rsidP="002D306C">
      <w:pPr>
        <w:spacing w:line="360" w:lineRule="auto"/>
        <w:rPr>
          <w:rFonts w:ascii="Arial" w:hAnsi="Arial" w:cs="Arial"/>
          <w:sz w:val="22"/>
          <w:szCs w:val="24"/>
          <w:lang w:val="es-CR" w:eastAsia="en-US"/>
        </w:rPr>
      </w:pPr>
      <w:r w:rsidRPr="002D306C">
        <w:rPr>
          <w:rFonts w:ascii="Arial" w:hAnsi="Arial" w:cs="Arial"/>
          <w:sz w:val="22"/>
          <w:szCs w:val="24"/>
          <w:lang w:val="es-CR" w:eastAsia="en-US"/>
        </w:rPr>
        <w:t xml:space="preserve">Cabe indicar, que la Junta Administrativa del Archivo Nacional se acogerá al Transitorio de la NICSP 17 “Propiedades, Planta y Equipo”, el cual cita textualmente: “Punto N°95 Las entidades no están obligadas a reconocer propiedades, planta y equipo para los periodos sobre los que se informe que comiencen en una fecha dentro de los cinco años siguientes a la fecha en que se adopte por primera vez la contabilidad de acumulación (o devengo) de acuerdo con las NICSP”. </w:t>
      </w:r>
    </w:p>
    <w:p w:rsidR="002D306C" w:rsidRPr="002D306C" w:rsidRDefault="002D306C" w:rsidP="002D306C">
      <w:pPr>
        <w:spacing w:before="240"/>
        <w:outlineLvl w:val="0"/>
        <w:rPr>
          <w:rFonts w:ascii="Arial" w:hAnsi="Arial" w:cs="Arial"/>
          <w:bCs/>
          <w:color w:val="000000"/>
          <w:lang w:val="es-ES"/>
        </w:rPr>
      </w:pPr>
    </w:p>
    <w:p w:rsidR="002D306C" w:rsidRPr="002D306C" w:rsidRDefault="002D306C" w:rsidP="002D306C">
      <w:pPr>
        <w:spacing w:before="240"/>
        <w:outlineLvl w:val="0"/>
        <w:rPr>
          <w:rFonts w:ascii="Arial" w:hAnsi="Arial" w:cs="Arial"/>
          <w:bCs/>
          <w:color w:val="000000"/>
          <w:lang w:val="es-ES"/>
        </w:rPr>
      </w:pPr>
      <w:r w:rsidRPr="002D306C">
        <w:rPr>
          <w:rFonts w:ascii="Arial" w:hAnsi="Arial" w:cs="Arial"/>
          <w:bCs/>
          <w:color w:val="000000"/>
          <w:lang w:val="es-ES"/>
        </w:rPr>
        <w:t xml:space="preserve">Nosotros, </w:t>
      </w:r>
      <w:r w:rsidRPr="002D306C">
        <w:rPr>
          <w:rFonts w:ascii="Arial" w:hAnsi="Arial" w:cs="Arial"/>
          <w:b/>
          <w:bCs/>
          <w:color w:val="000000"/>
          <w:sz w:val="24"/>
          <w:szCs w:val="24"/>
          <w:lang w:val="es-ES"/>
        </w:rPr>
        <w:t>Danilo Sanabria Vargas, Cédula 1-0637-0244 y Nancy Blanco Borbón, Cédula 2-0591-0928</w:t>
      </w:r>
      <w:r w:rsidRPr="002D306C">
        <w:rPr>
          <w:rFonts w:ascii="Arial" w:hAnsi="Arial" w:cs="Arial"/>
          <w:bCs/>
          <w:color w:val="000000"/>
          <w:lang w:val="es-ES"/>
        </w:rPr>
        <w:t xml:space="preserve">;  en  condición de encargados y custodios de la información contable de esta institución, damos fe de que conocemos todas las directrices aquí enunciadas y hacemos  mención de las que se cumplen. </w:t>
      </w:r>
    </w:p>
    <w:p w:rsidR="002D306C" w:rsidRPr="002D306C" w:rsidRDefault="002D306C" w:rsidP="002D306C">
      <w:pPr>
        <w:spacing w:before="240"/>
        <w:outlineLvl w:val="0"/>
        <w:rPr>
          <w:rFonts w:ascii="Arial" w:hAnsi="Arial" w:cs="Arial"/>
          <w:b/>
          <w:bCs/>
          <w:color w:val="000000"/>
          <w:sz w:val="24"/>
          <w:szCs w:val="24"/>
          <w:lang w:val="es-ES"/>
        </w:rPr>
      </w:pPr>
    </w:p>
    <w:p w:rsidR="002D306C" w:rsidRPr="002D306C" w:rsidRDefault="002D306C" w:rsidP="002D306C">
      <w:pPr>
        <w:outlineLvl w:val="0"/>
        <w:rPr>
          <w:rFonts w:ascii="Candara" w:eastAsia="Calibri" w:hAnsi="Candara" w:cs="Arial"/>
          <w:b/>
          <w:lang w:val="es-ES"/>
        </w:rPr>
      </w:pPr>
      <w:r w:rsidRPr="002D306C">
        <w:rPr>
          <w:rFonts w:ascii="Candara" w:eastAsia="Calibri" w:hAnsi="Candara" w:cs="Arial"/>
          <w:b/>
          <w:lang w:val="es-ES"/>
        </w:rPr>
        <w:t>______________________</w:t>
      </w:r>
      <w:r w:rsidRPr="002D306C">
        <w:rPr>
          <w:rFonts w:ascii="Candara" w:eastAsia="Calibri" w:hAnsi="Candara" w:cs="Arial"/>
          <w:b/>
          <w:lang w:val="es-ES"/>
        </w:rPr>
        <w:tab/>
      </w:r>
      <w:r w:rsidRPr="002D306C">
        <w:rPr>
          <w:rFonts w:ascii="Candara" w:eastAsia="Calibri" w:hAnsi="Candara" w:cs="Arial"/>
          <w:b/>
          <w:lang w:val="es-ES"/>
        </w:rPr>
        <w:tab/>
      </w:r>
      <w:r w:rsidRPr="002D306C">
        <w:rPr>
          <w:rFonts w:ascii="Candara" w:eastAsia="Calibri" w:hAnsi="Candara" w:cs="Arial"/>
          <w:b/>
          <w:lang w:val="es-ES"/>
        </w:rPr>
        <w:tab/>
      </w:r>
      <w:r w:rsidRPr="002D306C">
        <w:rPr>
          <w:rFonts w:ascii="Candara" w:eastAsia="Calibri" w:hAnsi="Candara" w:cs="Arial"/>
          <w:b/>
          <w:lang w:val="es-ES"/>
        </w:rPr>
        <w:tab/>
      </w:r>
      <w:r w:rsidRPr="002D306C">
        <w:rPr>
          <w:rFonts w:ascii="Candara" w:eastAsia="Calibri" w:hAnsi="Candara" w:cs="Arial"/>
          <w:b/>
          <w:lang w:val="es-ES"/>
        </w:rPr>
        <w:tab/>
        <w:t xml:space="preserve"> ______________________</w:t>
      </w:r>
    </w:p>
    <w:p w:rsidR="002D306C" w:rsidRPr="002D306C" w:rsidRDefault="002D306C" w:rsidP="002D306C">
      <w:pPr>
        <w:autoSpaceDE w:val="0"/>
        <w:autoSpaceDN w:val="0"/>
        <w:adjustRightInd w:val="0"/>
        <w:rPr>
          <w:rFonts w:ascii="Arial" w:hAnsi="Arial" w:cs="Arial"/>
          <w:b/>
          <w:u w:val="single"/>
          <w:lang w:val="es-ES"/>
        </w:rPr>
      </w:pPr>
      <w:r w:rsidRPr="002D306C">
        <w:rPr>
          <w:rFonts w:ascii="Arial" w:hAnsi="Arial" w:cs="Arial"/>
          <w:b/>
          <w:u w:val="single"/>
          <w:lang w:val="es-ES"/>
        </w:rPr>
        <w:t>Danilo Sanabria Vargas</w:t>
      </w:r>
      <w:r w:rsidRPr="002D306C">
        <w:rPr>
          <w:rFonts w:ascii="Arial" w:hAnsi="Arial" w:cs="Arial"/>
          <w:lang w:val="es-ES"/>
        </w:rPr>
        <w:tab/>
      </w:r>
      <w:r w:rsidRPr="002D306C">
        <w:rPr>
          <w:rFonts w:ascii="Arial" w:hAnsi="Arial" w:cs="Arial"/>
          <w:lang w:val="es-ES"/>
        </w:rPr>
        <w:tab/>
      </w:r>
      <w:r w:rsidRPr="002D306C">
        <w:rPr>
          <w:rFonts w:ascii="Arial" w:hAnsi="Arial" w:cs="Arial"/>
          <w:lang w:val="es-ES"/>
        </w:rPr>
        <w:tab/>
      </w:r>
      <w:r w:rsidRPr="002D306C">
        <w:rPr>
          <w:rFonts w:ascii="Arial" w:hAnsi="Arial" w:cs="Arial"/>
          <w:lang w:val="es-ES"/>
        </w:rPr>
        <w:tab/>
      </w:r>
      <w:r w:rsidRPr="002D306C">
        <w:rPr>
          <w:rFonts w:ascii="Arial" w:hAnsi="Arial" w:cs="Arial"/>
          <w:lang w:val="es-ES"/>
        </w:rPr>
        <w:tab/>
      </w:r>
      <w:r w:rsidRPr="002D306C">
        <w:rPr>
          <w:rFonts w:ascii="Arial" w:hAnsi="Arial" w:cs="Arial"/>
          <w:b/>
          <w:u w:val="single"/>
          <w:lang w:val="es-ES"/>
        </w:rPr>
        <w:t>Nancy Blanco Borbón</w:t>
      </w:r>
    </w:p>
    <w:p w:rsidR="002D306C" w:rsidRPr="002D306C" w:rsidRDefault="002D306C" w:rsidP="002D306C">
      <w:pPr>
        <w:autoSpaceDE w:val="0"/>
        <w:autoSpaceDN w:val="0"/>
        <w:adjustRightInd w:val="0"/>
        <w:rPr>
          <w:rFonts w:ascii="Arial" w:hAnsi="Arial" w:cs="Arial"/>
          <w:b/>
          <w:lang w:val="es-ES"/>
        </w:rPr>
      </w:pPr>
      <w:r w:rsidRPr="002D306C">
        <w:rPr>
          <w:rFonts w:ascii="Arial" w:hAnsi="Arial" w:cs="Arial"/>
          <w:b/>
          <w:u w:val="single"/>
          <w:lang w:val="es-ES"/>
        </w:rPr>
        <w:t>Coordinador Unidad Financiero Contable</w:t>
      </w:r>
      <w:r w:rsidRPr="002D306C">
        <w:rPr>
          <w:rFonts w:ascii="Arial" w:hAnsi="Arial" w:cs="Arial"/>
          <w:lang w:val="es-ES"/>
        </w:rPr>
        <w:t xml:space="preserve">   </w:t>
      </w:r>
      <w:r w:rsidRPr="002D306C">
        <w:rPr>
          <w:rFonts w:ascii="Arial" w:hAnsi="Arial" w:cs="Arial"/>
          <w:lang w:val="es-ES"/>
        </w:rPr>
        <w:tab/>
      </w:r>
      <w:r w:rsidRPr="002D306C">
        <w:rPr>
          <w:rFonts w:ascii="Arial" w:hAnsi="Arial" w:cs="Arial"/>
          <w:lang w:val="es-ES"/>
        </w:rPr>
        <w:tab/>
      </w:r>
      <w:r>
        <w:rPr>
          <w:rFonts w:ascii="Arial" w:hAnsi="Arial" w:cs="Arial"/>
          <w:lang w:val="es-ES"/>
        </w:rPr>
        <w:t xml:space="preserve">             </w:t>
      </w:r>
      <w:r w:rsidRPr="002D306C">
        <w:rPr>
          <w:rFonts w:ascii="Arial" w:hAnsi="Arial" w:cs="Arial"/>
          <w:b/>
          <w:u w:val="single"/>
          <w:lang w:val="es-ES"/>
        </w:rPr>
        <w:t>Profesional Contable</w:t>
      </w:r>
      <w:r w:rsidRPr="002D306C">
        <w:rPr>
          <w:rFonts w:ascii="Arial" w:hAnsi="Arial" w:cs="Arial"/>
          <w:b/>
          <w:lang w:val="es-ES"/>
        </w:rPr>
        <w:t xml:space="preserve">                                   </w:t>
      </w:r>
    </w:p>
    <w:p w:rsidR="002D306C" w:rsidRPr="002D306C" w:rsidRDefault="002D306C" w:rsidP="002D306C">
      <w:pPr>
        <w:autoSpaceDE w:val="0"/>
        <w:autoSpaceDN w:val="0"/>
        <w:adjustRightInd w:val="0"/>
        <w:rPr>
          <w:rFonts w:ascii="Arial" w:hAnsi="Arial" w:cs="Arial"/>
          <w:lang w:val="es-ES"/>
        </w:rPr>
      </w:pPr>
    </w:p>
    <w:p w:rsidR="002D306C" w:rsidRPr="002D306C" w:rsidRDefault="002D306C" w:rsidP="002D306C">
      <w:pPr>
        <w:autoSpaceDE w:val="0"/>
        <w:autoSpaceDN w:val="0"/>
        <w:adjustRightInd w:val="0"/>
        <w:jc w:val="center"/>
        <w:rPr>
          <w:rFonts w:ascii="Arial" w:hAnsi="Arial" w:cs="Arial"/>
          <w:lang w:val="es-ES"/>
        </w:rPr>
      </w:pPr>
    </w:p>
    <w:p w:rsidR="002D306C" w:rsidRPr="00A61013" w:rsidRDefault="002D306C" w:rsidP="002D306C">
      <w:pPr>
        <w:autoSpaceDE w:val="0"/>
        <w:autoSpaceDN w:val="0"/>
        <w:adjustRightInd w:val="0"/>
        <w:jc w:val="center"/>
        <w:rPr>
          <w:rFonts w:ascii="Arial" w:hAnsi="Arial" w:cs="Arial"/>
          <w:lang w:val="es-ES"/>
        </w:rPr>
      </w:pPr>
      <w:r w:rsidRPr="00A61013">
        <w:rPr>
          <w:rFonts w:ascii="Arial" w:hAnsi="Arial" w:cs="Arial"/>
          <w:lang w:val="es-ES"/>
        </w:rPr>
        <w:t xml:space="preserve">Sello:    </w:t>
      </w:r>
    </w:p>
    <w:p w:rsidR="002D306C" w:rsidRPr="00A61013" w:rsidRDefault="002D306C" w:rsidP="002D306C">
      <w:pPr>
        <w:rPr>
          <w:rFonts w:ascii="Arial" w:hAnsi="Arial" w:cs="Arial"/>
          <w:lang w:val="es-ES"/>
        </w:rPr>
      </w:pPr>
    </w:p>
    <w:p w:rsidR="002D306C" w:rsidRDefault="002D306C">
      <w:pPr>
        <w:rPr>
          <w:rFonts w:ascii="Candara" w:hAnsi="Candara" w:cs="Arial"/>
          <w:color w:val="000000"/>
          <w:sz w:val="24"/>
          <w:szCs w:val="24"/>
          <w:lang w:val="es-ES"/>
        </w:rPr>
      </w:pPr>
      <w:r>
        <w:rPr>
          <w:rFonts w:ascii="Candara" w:hAnsi="Candara" w:cs="Arial"/>
          <w:color w:val="000000"/>
          <w:sz w:val="24"/>
          <w:szCs w:val="24"/>
          <w:lang w:val="es-ES"/>
        </w:rPr>
        <w:br w:type="page"/>
      </w:r>
    </w:p>
    <w:p w:rsidR="002D306C" w:rsidRPr="00146E16" w:rsidRDefault="002D306C" w:rsidP="002D306C">
      <w:pPr>
        <w:spacing w:after="200"/>
        <w:jc w:val="center"/>
        <w:rPr>
          <w:rFonts w:ascii="Arial" w:hAnsi="Arial" w:cs="Arial"/>
          <w:b/>
          <w:bCs/>
          <w:color w:val="4F81BD"/>
          <w:sz w:val="28"/>
          <w:szCs w:val="28"/>
          <w:lang w:val="es-ES"/>
        </w:rPr>
      </w:pPr>
      <w:r w:rsidRPr="00146E16">
        <w:rPr>
          <w:rFonts w:ascii="Arial" w:hAnsi="Arial" w:cs="Arial"/>
          <w:b/>
          <w:bCs/>
          <w:color w:val="4F81BD"/>
          <w:sz w:val="28"/>
          <w:szCs w:val="28"/>
          <w:lang w:val="es-ES"/>
        </w:rPr>
        <w:lastRenderedPageBreak/>
        <w:t>NOTAS COMPLEMENTARIAS</w:t>
      </w:r>
    </w:p>
    <w:p w:rsidR="002D306C" w:rsidRPr="00146E16" w:rsidRDefault="002D306C" w:rsidP="002D306C">
      <w:pPr>
        <w:spacing w:after="200"/>
        <w:rPr>
          <w:rFonts w:ascii="Arial" w:hAnsi="Arial" w:cs="Arial"/>
          <w:b/>
          <w:color w:val="948A54"/>
          <w:sz w:val="28"/>
          <w:szCs w:val="28"/>
          <w:lang w:val="es-ES" w:eastAsia="en-US"/>
        </w:rPr>
      </w:pPr>
      <w:r>
        <w:rPr>
          <w:rFonts w:ascii="Arial" w:hAnsi="Arial" w:cs="Arial"/>
          <w:b/>
          <w:color w:val="948A54"/>
          <w:sz w:val="28"/>
          <w:szCs w:val="28"/>
          <w:lang w:val="es-ES" w:eastAsia="en-US"/>
        </w:rPr>
        <w:t>Nota #1</w:t>
      </w:r>
    </w:p>
    <w:p w:rsidR="002D306C" w:rsidRPr="00146E16" w:rsidRDefault="002D306C" w:rsidP="002D306C">
      <w:pPr>
        <w:spacing w:after="200"/>
        <w:rPr>
          <w:rFonts w:ascii="Arial" w:hAnsi="Arial" w:cs="Arial"/>
          <w:b/>
          <w:color w:val="948A54"/>
          <w:sz w:val="28"/>
          <w:szCs w:val="28"/>
          <w:lang w:val="es-ES" w:eastAsia="en-US"/>
        </w:rPr>
      </w:pPr>
      <w:r w:rsidRPr="00146E16">
        <w:rPr>
          <w:rFonts w:ascii="Arial" w:hAnsi="Arial" w:cs="Arial"/>
          <w:b/>
          <w:color w:val="948A54"/>
          <w:sz w:val="28"/>
          <w:szCs w:val="28"/>
          <w:lang w:val="es-ES" w:eastAsia="en-US"/>
        </w:rPr>
        <w:t>Conciliación saldos SIBINET</w:t>
      </w:r>
    </w:p>
    <w:p w:rsidR="002D306C" w:rsidRDefault="002D306C" w:rsidP="002D306C">
      <w:pPr>
        <w:spacing w:after="200"/>
        <w:rPr>
          <w:rFonts w:ascii="Arial" w:hAnsi="Arial" w:cs="Arial"/>
          <w:sz w:val="22"/>
          <w:szCs w:val="22"/>
          <w:lang w:val="es-ES" w:eastAsia="en-US"/>
        </w:rPr>
      </w:pPr>
      <w:r>
        <w:rPr>
          <w:rFonts w:ascii="Arial" w:hAnsi="Arial" w:cs="Arial"/>
          <w:sz w:val="22"/>
          <w:szCs w:val="22"/>
          <w:lang w:val="es-ES" w:eastAsia="en-US"/>
        </w:rPr>
        <w:t>Se realiza la conciliación  respectiva dando como resultado:</w:t>
      </w:r>
    </w:p>
    <w:p w:rsidR="002D306C" w:rsidRDefault="002D306C" w:rsidP="002D306C">
      <w:pPr>
        <w:spacing w:after="200"/>
        <w:rPr>
          <w:rFonts w:ascii="Arial" w:hAnsi="Arial" w:cs="Arial"/>
          <w:sz w:val="22"/>
          <w:szCs w:val="22"/>
          <w:lang w:val="es-ES" w:eastAsia="en-US"/>
        </w:rPr>
      </w:pPr>
    </w:p>
    <w:tbl>
      <w:tblPr>
        <w:tblW w:w="9400" w:type="dxa"/>
        <w:tblInd w:w="80" w:type="dxa"/>
        <w:tblCellMar>
          <w:left w:w="70" w:type="dxa"/>
          <w:right w:w="70" w:type="dxa"/>
        </w:tblCellMar>
        <w:tblLook w:val="04A0" w:firstRow="1" w:lastRow="0" w:firstColumn="1" w:lastColumn="0" w:noHBand="0" w:noVBand="1"/>
      </w:tblPr>
      <w:tblGrid>
        <w:gridCol w:w="4459"/>
        <w:gridCol w:w="1113"/>
        <w:gridCol w:w="1879"/>
        <w:gridCol w:w="2015"/>
      </w:tblGrid>
      <w:tr w:rsidR="002D306C" w:rsidRPr="002153E5" w:rsidTr="00633610">
        <w:trPr>
          <w:trHeight w:val="300"/>
        </w:trPr>
        <w:tc>
          <w:tcPr>
            <w:tcW w:w="9400" w:type="dxa"/>
            <w:gridSpan w:val="4"/>
            <w:tcBorders>
              <w:top w:val="single" w:sz="8" w:space="0" w:color="auto"/>
              <w:left w:val="single" w:sz="8" w:space="0" w:color="auto"/>
              <w:bottom w:val="nil"/>
              <w:right w:val="single" w:sz="8" w:space="0" w:color="000000"/>
            </w:tcBorders>
            <w:shd w:val="clear" w:color="auto" w:fill="auto"/>
            <w:noWrap/>
            <w:vAlign w:val="bottom"/>
            <w:hideMark/>
          </w:tcPr>
          <w:p w:rsidR="002D306C" w:rsidRPr="002153E5" w:rsidRDefault="002D306C" w:rsidP="00633610">
            <w:pPr>
              <w:jc w:val="center"/>
              <w:rPr>
                <w:rFonts w:ascii="Calibri" w:hAnsi="Calibri"/>
                <w:b/>
                <w:bCs/>
                <w:color w:val="000000"/>
                <w:sz w:val="22"/>
                <w:szCs w:val="22"/>
                <w:lang w:val="es-ES"/>
              </w:rPr>
            </w:pPr>
            <w:bookmarkStart w:id="439" w:name="RANGE!A1:D18"/>
            <w:r w:rsidRPr="002153E5">
              <w:rPr>
                <w:rFonts w:ascii="Calibri" w:hAnsi="Calibri"/>
                <w:b/>
                <w:bCs/>
                <w:color w:val="000000"/>
                <w:sz w:val="22"/>
                <w:szCs w:val="22"/>
                <w:lang w:val="es-ES"/>
              </w:rPr>
              <w:t>COSTO ORIGINAL</w:t>
            </w:r>
            <w:bookmarkEnd w:id="439"/>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b/>
                <w:bCs/>
                <w:color w:val="000000"/>
                <w:sz w:val="22"/>
                <w:szCs w:val="22"/>
                <w:lang w:val="es-ES"/>
              </w:rPr>
            </w:pPr>
            <w:r w:rsidRPr="002153E5">
              <w:rPr>
                <w:rFonts w:ascii="Calibri" w:hAnsi="Calibri"/>
                <w:b/>
                <w:bCs/>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b/>
                <w:bCs/>
                <w:color w:val="000000"/>
                <w:sz w:val="22"/>
                <w:szCs w:val="22"/>
                <w:lang w:val="es-ES"/>
              </w:rPr>
            </w:pPr>
            <w:r w:rsidRPr="002153E5">
              <w:rPr>
                <w:rFonts w:ascii="Calibri" w:hAnsi="Calibri"/>
                <w:b/>
                <w:bCs/>
                <w:color w:val="000000"/>
                <w:sz w:val="22"/>
                <w:szCs w:val="22"/>
                <w:lang w:val="es-ES"/>
              </w:rPr>
              <w:t>CANTIDAD</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b/>
                <w:bCs/>
                <w:color w:val="000000"/>
                <w:sz w:val="22"/>
                <w:szCs w:val="22"/>
                <w:lang w:val="es-ES"/>
              </w:rPr>
            </w:pPr>
            <w:r w:rsidRPr="002153E5">
              <w:rPr>
                <w:rFonts w:ascii="Calibri" w:hAnsi="Calibri"/>
                <w:b/>
                <w:bCs/>
                <w:color w:val="000000"/>
                <w:sz w:val="22"/>
                <w:szCs w:val="22"/>
                <w:lang w:val="es-ES"/>
              </w:rPr>
              <w:t xml:space="preserve"> CONTABILIDAD </w:t>
            </w: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b/>
                <w:bCs/>
                <w:color w:val="000000"/>
                <w:sz w:val="22"/>
                <w:szCs w:val="22"/>
                <w:lang w:val="es-ES"/>
              </w:rPr>
            </w:pPr>
            <w:r w:rsidRPr="002153E5">
              <w:rPr>
                <w:rFonts w:ascii="Calibri" w:hAnsi="Calibri"/>
                <w:b/>
                <w:bCs/>
                <w:color w:val="000000"/>
                <w:sz w:val="22"/>
                <w:szCs w:val="22"/>
                <w:lang w:val="es-ES"/>
              </w:rPr>
              <w:t xml:space="preserve"> SIBINET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Saldos</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10,443,977,966.74 </w:t>
            </w: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10,291,802,788.17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Activos pendientes de registrar en SIBINET</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456</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49,714,074.33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Activos con consultas pendientes de evacuar</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25</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5,929,391.48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Pinturas con Revaluación</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40</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58,299,903.00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Activos sin placa en contabilidad</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4</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7,074,945.26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Activos con Revaluación</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11</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50,722,681.35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Activos Pendientes de retirar SIBINET/Acta baja</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r w:rsidRPr="002153E5">
              <w:rPr>
                <w:rFonts w:ascii="Calibri" w:hAnsi="Calibri"/>
                <w:color w:val="000000"/>
                <w:sz w:val="22"/>
                <w:szCs w:val="22"/>
                <w:lang w:val="es-ES"/>
              </w:rPr>
              <w:t>348</w:t>
            </w:r>
          </w:p>
        </w:tc>
        <w:tc>
          <w:tcPr>
            <w:tcW w:w="1879" w:type="dxa"/>
            <w:tcBorders>
              <w:top w:val="nil"/>
              <w:left w:val="nil"/>
              <w:bottom w:val="nil"/>
              <w:right w:val="nil"/>
            </w:tcBorders>
            <w:shd w:val="clear" w:color="auto" w:fill="auto"/>
            <w:noWrap/>
            <w:vAlign w:val="bottom"/>
            <w:hideMark/>
          </w:tcPr>
          <w:p w:rsidR="002D306C" w:rsidRPr="002153E5" w:rsidRDefault="002D306C" w:rsidP="00633610">
            <w:pPr>
              <w:jc w:val="right"/>
              <w:rPr>
                <w:rFonts w:ascii="Calibri" w:hAnsi="Calibri"/>
                <w:color w:val="000000"/>
                <w:sz w:val="22"/>
                <w:szCs w:val="22"/>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-19,565,816.55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lang w:val="es-ES"/>
              </w:rPr>
            </w:pP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r>
      <w:tr w:rsidR="002D306C" w:rsidRPr="002153E5" w:rsidTr="00633610">
        <w:trPr>
          <w:trHeight w:val="300"/>
        </w:trPr>
        <w:tc>
          <w:tcPr>
            <w:tcW w:w="4459" w:type="dxa"/>
            <w:tcBorders>
              <w:top w:val="nil"/>
              <w:left w:val="single" w:sz="8" w:space="0" w:color="auto"/>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TOTALES</w:t>
            </w:r>
          </w:p>
        </w:tc>
        <w:tc>
          <w:tcPr>
            <w:tcW w:w="1047"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p>
        </w:tc>
        <w:tc>
          <w:tcPr>
            <w:tcW w:w="1879" w:type="dxa"/>
            <w:tcBorders>
              <w:top w:val="nil"/>
              <w:left w:val="nil"/>
              <w:bottom w:val="nil"/>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Pr>
                <w:rFonts w:ascii="Calibri" w:hAnsi="Calibri"/>
                <w:color w:val="000000"/>
                <w:sz w:val="22"/>
                <w:szCs w:val="22"/>
                <w:lang w:val="es-ES"/>
              </w:rPr>
              <w:t xml:space="preserve">  10,443,977,967.0</w:t>
            </w:r>
            <w:r w:rsidRPr="002153E5">
              <w:rPr>
                <w:rFonts w:ascii="Calibri" w:hAnsi="Calibri"/>
                <w:color w:val="000000"/>
                <w:sz w:val="22"/>
                <w:szCs w:val="22"/>
                <w:lang w:val="es-ES"/>
              </w:rPr>
              <w:t xml:space="preserve">4 </w:t>
            </w:r>
          </w:p>
        </w:tc>
        <w:tc>
          <w:tcPr>
            <w:tcW w:w="2015" w:type="dxa"/>
            <w:tcBorders>
              <w:top w:val="nil"/>
              <w:left w:val="nil"/>
              <w:bottom w:val="nil"/>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xml:space="preserve">   10,443,977,967.04 </w:t>
            </w:r>
          </w:p>
        </w:tc>
      </w:tr>
      <w:tr w:rsidR="002D306C" w:rsidRPr="002153E5" w:rsidTr="00633610">
        <w:trPr>
          <w:trHeight w:val="315"/>
        </w:trPr>
        <w:tc>
          <w:tcPr>
            <w:tcW w:w="4459" w:type="dxa"/>
            <w:tcBorders>
              <w:top w:val="nil"/>
              <w:left w:val="single" w:sz="8" w:space="0" w:color="auto"/>
              <w:bottom w:val="single" w:sz="8" w:space="0" w:color="auto"/>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DIFERENCIAS</w:t>
            </w:r>
          </w:p>
        </w:tc>
        <w:tc>
          <w:tcPr>
            <w:tcW w:w="1047" w:type="dxa"/>
            <w:tcBorders>
              <w:top w:val="nil"/>
              <w:left w:val="nil"/>
              <w:bottom w:val="single" w:sz="8" w:space="0" w:color="auto"/>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1879" w:type="dxa"/>
            <w:tcBorders>
              <w:top w:val="nil"/>
              <w:left w:val="nil"/>
              <w:bottom w:val="single" w:sz="8" w:space="0" w:color="auto"/>
              <w:right w:val="nil"/>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sidRPr="002153E5">
              <w:rPr>
                <w:rFonts w:ascii="Calibri" w:hAnsi="Calibri"/>
                <w:color w:val="000000"/>
                <w:sz w:val="22"/>
                <w:szCs w:val="22"/>
                <w:lang w:val="es-ES"/>
              </w:rPr>
              <w:t> </w:t>
            </w:r>
          </w:p>
        </w:tc>
        <w:tc>
          <w:tcPr>
            <w:tcW w:w="2015" w:type="dxa"/>
            <w:tcBorders>
              <w:top w:val="nil"/>
              <w:left w:val="nil"/>
              <w:bottom w:val="single" w:sz="8" w:space="0" w:color="auto"/>
              <w:right w:val="single" w:sz="8" w:space="0" w:color="auto"/>
            </w:tcBorders>
            <w:shd w:val="clear" w:color="auto" w:fill="auto"/>
            <w:noWrap/>
            <w:vAlign w:val="bottom"/>
            <w:hideMark/>
          </w:tcPr>
          <w:p w:rsidR="002D306C" w:rsidRPr="002153E5" w:rsidRDefault="002D306C" w:rsidP="00633610">
            <w:pPr>
              <w:rPr>
                <w:rFonts w:ascii="Calibri" w:hAnsi="Calibri"/>
                <w:color w:val="000000"/>
                <w:sz w:val="22"/>
                <w:szCs w:val="22"/>
                <w:lang w:val="es-ES"/>
              </w:rPr>
            </w:pPr>
            <w:r>
              <w:rPr>
                <w:rFonts w:ascii="Calibri" w:hAnsi="Calibri"/>
                <w:color w:val="000000"/>
                <w:sz w:val="22"/>
                <w:szCs w:val="22"/>
                <w:lang w:val="es-ES"/>
              </w:rPr>
              <w:t xml:space="preserve">                             -</w:t>
            </w:r>
            <w:r w:rsidRPr="002153E5">
              <w:rPr>
                <w:rFonts w:ascii="Calibri" w:hAnsi="Calibri"/>
                <w:color w:val="000000"/>
                <w:sz w:val="22"/>
                <w:szCs w:val="22"/>
                <w:lang w:val="es-ES"/>
              </w:rPr>
              <w:t xml:space="preserve"> </w:t>
            </w:r>
          </w:p>
        </w:tc>
      </w:tr>
    </w:tbl>
    <w:p w:rsidR="00F76E78" w:rsidRPr="002D306C" w:rsidRDefault="00F76E78" w:rsidP="0072178D">
      <w:pPr>
        <w:spacing w:line="276" w:lineRule="auto"/>
        <w:jc w:val="both"/>
        <w:rPr>
          <w:rFonts w:ascii="Candara" w:hAnsi="Candara" w:cs="Arial"/>
          <w:color w:val="000000"/>
          <w:sz w:val="24"/>
          <w:szCs w:val="24"/>
          <w:lang w:val="es-ES"/>
        </w:rPr>
      </w:pPr>
    </w:p>
    <w:sectPr w:rsidR="00F76E78" w:rsidRPr="002D306C">
      <w:footerReference w:type="even" r:id="rId221"/>
      <w:footerReference w:type="default" r:id="rId222"/>
      <w:type w:val="continuous"/>
      <w:pgSz w:w="12242" w:h="15842" w:code="1"/>
      <w:pgMar w:top="851" w:right="1418" w:bottom="709"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9BD" w:rsidRDefault="003729BD">
      <w:r>
        <w:separator/>
      </w:r>
    </w:p>
  </w:endnote>
  <w:endnote w:type="continuationSeparator" w:id="0">
    <w:p w:rsidR="003729BD" w:rsidRDefault="00372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54" w:rsidRDefault="007837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83754" w:rsidRDefault="007837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54" w:rsidRDefault="007837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1013">
      <w:rPr>
        <w:rStyle w:val="Nmerodepgina"/>
        <w:noProof/>
      </w:rPr>
      <w:t>34</w:t>
    </w:r>
    <w:r>
      <w:rPr>
        <w:rStyle w:val="Nmerodepgina"/>
      </w:rPr>
      <w:fldChar w:fldCharType="end"/>
    </w:r>
  </w:p>
  <w:p w:rsidR="00783754" w:rsidRDefault="00783754">
    <w:pPr>
      <w:pStyle w:val="Piedepgina"/>
      <w:ind w:right="360"/>
      <w:rPr>
        <w:sz w:val="17"/>
        <w:szCs w:val="17"/>
        <w:lang w:val="es-ES"/>
      </w:rPr>
    </w:pPr>
    <w:r>
      <w:rPr>
        <w:sz w:val="17"/>
        <w:szCs w:val="17"/>
        <w:lang w:val="es-ES"/>
      </w:rPr>
      <w:t>HECHO POR                                                                                                                                             REVISADO POR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9BD" w:rsidRDefault="003729BD">
      <w:r>
        <w:separator/>
      </w:r>
    </w:p>
  </w:footnote>
  <w:footnote w:type="continuationSeparator" w:id="0">
    <w:p w:rsidR="003729BD" w:rsidRDefault="003729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832A8"/>
    <w:multiLevelType w:val="hybridMultilevel"/>
    <w:tmpl w:val="07BC363A"/>
    <w:lvl w:ilvl="0" w:tplc="00C86004">
      <w:start w:val="1"/>
      <w:numFmt w:val="decimal"/>
      <w:lvlText w:val="%1)"/>
      <w:lvlJc w:val="left"/>
      <w:pPr>
        <w:tabs>
          <w:tab w:val="num" w:pos="720"/>
        </w:tabs>
        <w:ind w:left="720" w:hanging="360"/>
      </w:pPr>
    </w:lvl>
    <w:lvl w:ilvl="1" w:tplc="D792B392" w:tentative="1">
      <w:start w:val="1"/>
      <w:numFmt w:val="lowerLetter"/>
      <w:lvlText w:val="%2."/>
      <w:lvlJc w:val="left"/>
      <w:pPr>
        <w:tabs>
          <w:tab w:val="num" w:pos="1440"/>
        </w:tabs>
        <w:ind w:left="1440" w:hanging="360"/>
      </w:pPr>
    </w:lvl>
    <w:lvl w:ilvl="2" w:tplc="54909746" w:tentative="1">
      <w:start w:val="1"/>
      <w:numFmt w:val="lowerRoman"/>
      <w:lvlText w:val="%3."/>
      <w:lvlJc w:val="right"/>
      <w:pPr>
        <w:tabs>
          <w:tab w:val="num" w:pos="2160"/>
        </w:tabs>
        <w:ind w:left="2160" w:hanging="180"/>
      </w:pPr>
    </w:lvl>
    <w:lvl w:ilvl="3" w:tplc="C37E5B5C" w:tentative="1">
      <w:start w:val="1"/>
      <w:numFmt w:val="decimal"/>
      <w:lvlText w:val="%4."/>
      <w:lvlJc w:val="left"/>
      <w:pPr>
        <w:tabs>
          <w:tab w:val="num" w:pos="2880"/>
        </w:tabs>
        <w:ind w:left="2880" w:hanging="360"/>
      </w:pPr>
    </w:lvl>
    <w:lvl w:ilvl="4" w:tplc="2D3849DA" w:tentative="1">
      <w:start w:val="1"/>
      <w:numFmt w:val="lowerLetter"/>
      <w:lvlText w:val="%5."/>
      <w:lvlJc w:val="left"/>
      <w:pPr>
        <w:tabs>
          <w:tab w:val="num" w:pos="3600"/>
        </w:tabs>
        <w:ind w:left="3600" w:hanging="360"/>
      </w:pPr>
    </w:lvl>
    <w:lvl w:ilvl="5" w:tplc="9E907A5C" w:tentative="1">
      <w:start w:val="1"/>
      <w:numFmt w:val="lowerRoman"/>
      <w:lvlText w:val="%6."/>
      <w:lvlJc w:val="right"/>
      <w:pPr>
        <w:tabs>
          <w:tab w:val="num" w:pos="4320"/>
        </w:tabs>
        <w:ind w:left="4320" w:hanging="180"/>
      </w:pPr>
    </w:lvl>
    <w:lvl w:ilvl="6" w:tplc="7E1A299C" w:tentative="1">
      <w:start w:val="1"/>
      <w:numFmt w:val="decimal"/>
      <w:lvlText w:val="%7."/>
      <w:lvlJc w:val="left"/>
      <w:pPr>
        <w:tabs>
          <w:tab w:val="num" w:pos="5040"/>
        </w:tabs>
        <w:ind w:left="5040" w:hanging="360"/>
      </w:pPr>
    </w:lvl>
    <w:lvl w:ilvl="7" w:tplc="9F40D23E" w:tentative="1">
      <w:start w:val="1"/>
      <w:numFmt w:val="lowerLetter"/>
      <w:lvlText w:val="%8."/>
      <w:lvlJc w:val="left"/>
      <w:pPr>
        <w:tabs>
          <w:tab w:val="num" w:pos="5760"/>
        </w:tabs>
        <w:ind w:left="5760" w:hanging="360"/>
      </w:pPr>
    </w:lvl>
    <w:lvl w:ilvl="8" w:tplc="21C29100" w:tentative="1">
      <w:start w:val="1"/>
      <w:numFmt w:val="lowerRoman"/>
      <w:lvlText w:val="%9."/>
      <w:lvlJc w:val="right"/>
      <w:pPr>
        <w:tabs>
          <w:tab w:val="num" w:pos="6480"/>
        </w:tabs>
        <w:ind w:left="6480" w:hanging="180"/>
      </w:pPr>
    </w:lvl>
  </w:abstractNum>
  <w:abstractNum w:abstractNumId="1">
    <w:nsid w:val="11D72090"/>
    <w:multiLevelType w:val="multilevel"/>
    <w:tmpl w:val="747E6194"/>
    <w:lvl w:ilvl="0">
      <w:start w:val="1"/>
      <w:numFmt w:val="decimal"/>
      <w:lvlText w:val="(%1)"/>
      <w:lvlJc w:val="left"/>
      <w:pPr>
        <w:tabs>
          <w:tab w:val="num" w:pos="720"/>
        </w:tabs>
        <w:ind w:left="720" w:hanging="360"/>
      </w:pPr>
      <w:rPr>
        <w:rFonts w:hint="default"/>
      </w:rPr>
    </w:lvl>
    <w:lvl w:ilvl="1">
      <w:start w:val="6"/>
      <w:numFmt w:val="decimal"/>
      <w:lvlText w:val="(%2)"/>
      <w:lvlJc w:val="left"/>
      <w:pPr>
        <w:tabs>
          <w:tab w:val="num" w:pos="2355"/>
        </w:tabs>
        <w:ind w:left="2355" w:hanging="127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nsid w:val="14B8017A"/>
    <w:multiLevelType w:val="hybridMultilevel"/>
    <w:tmpl w:val="B4A6E9A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21672725"/>
    <w:multiLevelType w:val="hybridMultilevel"/>
    <w:tmpl w:val="D760243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5FC728B"/>
    <w:multiLevelType w:val="multilevel"/>
    <w:tmpl w:val="D2A244EA"/>
    <w:lvl w:ilvl="0">
      <w:start w:val="4"/>
      <w:numFmt w:val="decimal"/>
      <w:lvlText w:val="(%1)"/>
      <w:lvlJc w:val="left"/>
      <w:pPr>
        <w:tabs>
          <w:tab w:val="num" w:pos="720"/>
        </w:tabs>
        <w:ind w:left="720" w:hanging="360"/>
      </w:pPr>
      <w:rPr>
        <w:rFonts w:hint="default"/>
        <w:b/>
        <w:i w:val="0"/>
      </w:rPr>
    </w:lvl>
    <w:lvl w:ilvl="1">
      <w:start w:val="1"/>
      <w:numFmt w:val="lowerLetter"/>
      <w:lvlText w:val="(%2)"/>
      <w:lvlJc w:val="left"/>
      <w:pPr>
        <w:tabs>
          <w:tab w:val="num" w:pos="2355"/>
        </w:tabs>
        <w:ind w:left="2355" w:hanging="127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78D0307"/>
    <w:multiLevelType w:val="singleLevel"/>
    <w:tmpl w:val="8C180752"/>
    <w:lvl w:ilvl="0">
      <w:start w:val="29"/>
      <w:numFmt w:val="bullet"/>
      <w:lvlText w:val="-"/>
      <w:lvlJc w:val="left"/>
      <w:pPr>
        <w:tabs>
          <w:tab w:val="num" w:pos="360"/>
        </w:tabs>
        <w:ind w:left="360" w:hanging="360"/>
      </w:pPr>
      <w:rPr>
        <w:rFonts w:ascii="Times New Roman" w:hAnsi="Times New Roman" w:hint="default"/>
      </w:rPr>
    </w:lvl>
  </w:abstractNum>
  <w:abstractNum w:abstractNumId="6">
    <w:nsid w:val="2DE3075F"/>
    <w:multiLevelType w:val="hybridMultilevel"/>
    <w:tmpl w:val="3C62CE36"/>
    <w:lvl w:ilvl="0" w:tplc="476451E0">
      <w:start w:val="1"/>
      <w:numFmt w:val="decimal"/>
      <w:lvlText w:val="%1."/>
      <w:lvlJc w:val="left"/>
      <w:pPr>
        <w:tabs>
          <w:tab w:val="num" w:pos="780"/>
        </w:tabs>
        <w:ind w:left="780" w:hanging="360"/>
      </w:pPr>
      <w:rPr>
        <w:rFonts w:hint="default"/>
        <w:b w:val="0"/>
        <w:i w:val="0"/>
      </w:r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7">
    <w:nsid w:val="33A03E7D"/>
    <w:multiLevelType w:val="hybridMultilevel"/>
    <w:tmpl w:val="46E4F3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9A235B3"/>
    <w:multiLevelType w:val="hybridMultilevel"/>
    <w:tmpl w:val="7A02FB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DA5742A"/>
    <w:multiLevelType w:val="multilevel"/>
    <w:tmpl w:val="82347256"/>
    <w:lvl w:ilvl="0">
      <w:start w:val="1"/>
      <w:numFmt w:val="decimal"/>
      <w:lvlText w:val="(%1)"/>
      <w:lvlJc w:val="left"/>
      <w:pPr>
        <w:tabs>
          <w:tab w:val="num" w:pos="720"/>
        </w:tabs>
        <w:ind w:left="720" w:hanging="360"/>
      </w:pPr>
      <w:rPr>
        <w:rFonts w:hint="default"/>
        <w:b/>
        <w:i w:val="0"/>
        <w:color w:val="auto"/>
      </w:rPr>
    </w:lvl>
    <w:lvl w:ilvl="1">
      <w:start w:val="1"/>
      <w:numFmt w:val="lowerLetter"/>
      <w:lvlText w:val="(%2)"/>
      <w:lvlJc w:val="left"/>
      <w:pPr>
        <w:tabs>
          <w:tab w:val="num" w:pos="2355"/>
        </w:tabs>
        <w:ind w:left="2355" w:hanging="127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5334419D"/>
    <w:multiLevelType w:val="multilevel"/>
    <w:tmpl w:val="82347256"/>
    <w:lvl w:ilvl="0">
      <w:start w:val="1"/>
      <w:numFmt w:val="decimal"/>
      <w:lvlText w:val="(%1)"/>
      <w:lvlJc w:val="left"/>
      <w:pPr>
        <w:tabs>
          <w:tab w:val="num" w:pos="720"/>
        </w:tabs>
        <w:ind w:left="720" w:hanging="360"/>
      </w:pPr>
      <w:rPr>
        <w:rFonts w:hint="default"/>
        <w:b/>
        <w:i w:val="0"/>
        <w:color w:val="auto"/>
      </w:rPr>
    </w:lvl>
    <w:lvl w:ilvl="1">
      <w:start w:val="1"/>
      <w:numFmt w:val="lowerLetter"/>
      <w:lvlText w:val="(%2)"/>
      <w:lvlJc w:val="left"/>
      <w:pPr>
        <w:tabs>
          <w:tab w:val="num" w:pos="2355"/>
        </w:tabs>
        <w:ind w:left="2355" w:hanging="127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5371673F"/>
    <w:multiLevelType w:val="hybridMultilevel"/>
    <w:tmpl w:val="6308A95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59C1048E"/>
    <w:multiLevelType w:val="multilevel"/>
    <w:tmpl w:val="F3C6ACEE"/>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2355"/>
        </w:tabs>
        <w:ind w:left="2355" w:hanging="1275"/>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64C106BC"/>
    <w:multiLevelType w:val="hybridMultilevel"/>
    <w:tmpl w:val="EF68258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Times New Roman" w:hint="default"/>
      </w:rPr>
    </w:lvl>
    <w:lvl w:ilvl="3" w:tplc="0C0A0001">
      <w:start w:val="1"/>
      <w:numFmt w:val="bullet"/>
      <w:lvlText w:val=""/>
      <w:lvlJc w:val="left"/>
      <w:pPr>
        <w:ind w:left="2880" w:hanging="360"/>
      </w:pPr>
      <w:rPr>
        <w:rFonts w:ascii="Symbol" w:hAnsi="Symbol" w:cs="Times New Roman"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Times New Roman" w:hint="default"/>
      </w:rPr>
    </w:lvl>
    <w:lvl w:ilvl="6" w:tplc="0C0A0001">
      <w:start w:val="1"/>
      <w:numFmt w:val="bullet"/>
      <w:lvlText w:val=""/>
      <w:lvlJc w:val="left"/>
      <w:pPr>
        <w:ind w:left="5040" w:hanging="360"/>
      </w:pPr>
      <w:rPr>
        <w:rFonts w:ascii="Symbol" w:hAnsi="Symbol" w:cs="Times New Roman"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Times New Roman" w:hint="default"/>
      </w:rPr>
    </w:lvl>
  </w:abstractNum>
  <w:abstractNum w:abstractNumId="14">
    <w:nsid w:val="6E2C5ACC"/>
    <w:multiLevelType w:val="hybridMultilevel"/>
    <w:tmpl w:val="1738280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73322597"/>
    <w:multiLevelType w:val="hybridMultilevel"/>
    <w:tmpl w:val="1B4449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12"/>
  </w:num>
  <w:num w:numId="5">
    <w:abstractNumId w:val="4"/>
  </w:num>
  <w:num w:numId="6">
    <w:abstractNumId w:val="9"/>
  </w:num>
  <w:num w:numId="7">
    <w:abstractNumId w:val="10"/>
  </w:num>
  <w:num w:numId="8">
    <w:abstractNumId w:val="6"/>
  </w:num>
  <w:num w:numId="9">
    <w:abstractNumId w:val="2"/>
  </w:num>
  <w:num w:numId="10">
    <w:abstractNumId w:val="11"/>
  </w:num>
  <w:num w:numId="11">
    <w:abstractNumId w:val="14"/>
  </w:num>
  <w:num w:numId="12">
    <w:abstractNumId w:val="13"/>
  </w:num>
  <w:num w:numId="13">
    <w:abstractNumId w:val="3"/>
  </w:num>
  <w:num w:numId="14">
    <w:abstractNumId w:val="8"/>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84A"/>
    <w:rsid w:val="000328C6"/>
    <w:rsid w:val="0003365D"/>
    <w:rsid w:val="00047E53"/>
    <w:rsid w:val="00050301"/>
    <w:rsid w:val="000C7CD4"/>
    <w:rsid w:val="000D46D3"/>
    <w:rsid w:val="000F384A"/>
    <w:rsid w:val="000F53E7"/>
    <w:rsid w:val="001516E1"/>
    <w:rsid w:val="00161CBD"/>
    <w:rsid w:val="001A373F"/>
    <w:rsid w:val="001D28B3"/>
    <w:rsid w:val="001D36B5"/>
    <w:rsid w:val="001D6532"/>
    <w:rsid w:val="00200D52"/>
    <w:rsid w:val="00220FA7"/>
    <w:rsid w:val="00252D04"/>
    <w:rsid w:val="00267D37"/>
    <w:rsid w:val="0027067B"/>
    <w:rsid w:val="00285061"/>
    <w:rsid w:val="002A5B4D"/>
    <w:rsid w:val="002D306C"/>
    <w:rsid w:val="002D7A98"/>
    <w:rsid w:val="002E438F"/>
    <w:rsid w:val="002E7874"/>
    <w:rsid w:val="00306BE4"/>
    <w:rsid w:val="003128EC"/>
    <w:rsid w:val="00325F05"/>
    <w:rsid w:val="00343EB0"/>
    <w:rsid w:val="00362160"/>
    <w:rsid w:val="003729BD"/>
    <w:rsid w:val="003B684B"/>
    <w:rsid w:val="003D020D"/>
    <w:rsid w:val="003F6F51"/>
    <w:rsid w:val="00403919"/>
    <w:rsid w:val="004072E8"/>
    <w:rsid w:val="00417854"/>
    <w:rsid w:val="00481708"/>
    <w:rsid w:val="0049158D"/>
    <w:rsid w:val="004C188E"/>
    <w:rsid w:val="004C24D8"/>
    <w:rsid w:val="004D76B1"/>
    <w:rsid w:val="004F0AE0"/>
    <w:rsid w:val="004F1BF3"/>
    <w:rsid w:val="00513EFC"/>
    <w:rsid w:val="005604BF"/>
    <w:rsid w:val="005614E8"/>
    <w:rsid w:val="00587468"/>
    <w:rsid w:val="00597C43"/>
    <w:rsid w:val="005B514C"/>
    <w:rsid w:val="005D4897"/>
    <w:rsid w:val="005D682E"/>
    <w:rsid w:val="005F172D"/>
    <w:rsid w:val="005F66FB"/>
    <w:rsid w:val="00602045"/>
    <w:rsid w:val="006251D1"/>
    <w:rsid w:val="00627D8A"/>
    <w:rsid w:val="00632EF5"/>
    <w:rsid w:val="006333F6"/>
    <w:rsid w:val="00635DCB"/>
    <w:rsid w:val="00645898"/>
    <w:rsid w:val="006468FB"/>
    <w:rsid w:val="0066712C"/>
    <w:rsid w:val="0068594A"/>
    <w:rsid w:val="00694C77"/>
    <w:rsid w:val="006B482B"/>
    <w:rsid w:val="006B6F3F"/>
    <w:rsid w:val="006E0D0F"/>
    <w:rsid w:val="0072178D"/>
    <w:rsid w:val="007239FB"/>
    <w:rsid w:val="00770920"/>
    <w:rsid w:val="00781C08"/>
    <w:rsid w:val="00783754"/>
    <w:rsid w:val="007A4712"/>
    <w:rsid w:val="007D5A6E"/>
    <w:rsid w:val="007E153B"/>
    <w:rsid w:val="007F6095"/>
    <w:rsid w:val="00811566"/>
    <w:rsid w:val="00816DFB"/>
    <w:rsid w:val="00831334"/>
    <w:rsid w:val="00845BE5"/>
    <w:rsid w:val="00886A97"/>
    <w:rsid w:val="0089216C"/>
    <w:rsid w:val="008E33F1"/>
    <w:rsid w:val="00916407"/>
    <w:rsid w:val="00920E46"/>
    <w:rsid w:val="00943A29"/>
    <w:rsid w:val="00996EC7"/>
    <w:rsid w:val="009A52A8"/>
    <w:rsid w:val="009A5C7E"/>
    <w:rsid w:val="009E0A3C"/>
    <w:rsid w:val="009F022F"/>
    <w:rsid w:val="009F24F1"/>
    <w:rsid w:val="00A12E83"/>
    <w:rsid w:val="00A42090"/>
    <w:rsid w:val="00A42BA6"/>
    <w:rsid w:val="00A52932"/>
    <w:rsid w:val="00A61013"/>
    <w:rsid w:val="00A6675C"/>
    <w:rsid w:val="00A71C06"/>
    <w:rsid w:val="00A83856"/>
    <w:rsid w:val="00A926E1"/>
    <w:rsid w:val="00B43C4F"/>
    <w:rsid w:val="00B522EE"/>
    <w:rsid w:val="00B659B8"/>
    <w:rsid w:val="00BB3AC8"/>
    <w:rsid w:val="00BE1FE0"/>
    <w:rsid w:val="00C040D5"/>
    <w:rsid w:val="00C0626E"/>
    <w:rsid w:val="00C10D26"/>
    <w:rsid w:val="00C14694"/>
    <w:rsid w:val="00C1782A"/>
    <w:rsid w:val="00C3786D"/>
    <w:rsid w:val="00C439DD"/>
    <w:rsid w:val="00C61604"/>
    <w:rsid w:val="00CD3CAC"/>
    <w:rsid w:val="00CD6F21"/>
    <w:rsid w:val="00D14C1D"/>
    <w:rsid w:val="00D17BFF"/>
    <w:rsid w:val="00D2168E"/>
    <w:rsid w:val="00D46559"/>
    <w:rsid w:val="00D65FDD"/>
    <w:rsid w:val="00D66C73"/>
    <w:rsid w:val="00DB76C2"/>
    <w:rsid w:val="00DB7F69"/>
    <w:rsid w:val="00DC1691"/>
    <w:rsid w:val="00E23EA8"/>
    <w:rsid w:val="00E2526E"/>
    <w:rsid w:val="00E473CC"/>
    <w:rsid w:val="00E56841"/>
    <w:rsid w:val="00E6032C"/>
    <w:rsid w:val="00EF21C3"/>
    <w:rsid w:val="00F1167D"/>
    <w:rsid w:val="00F12DF6"/>
    <w:rsid w:val="00F231DE"/>
    <w:rsid w:val="00F355CA"/>
    <w:rsid w:val="00F368C5"/>
    <w:rsid w:val="00F43E80"/>
    <w:rsid w:val="00F5630A"/>
    <w:rsid w:val="00F7419A"/>
    <w:rsid w:val="00F76D3C"/>
    <w:rsid w:val="00F76E78"/>
    <w:rsid w:val="00F86B73"/>
    <w:rsid w:val="00FA0DED"/>
    <w:rsid w:val="00FA66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33950AA-5AD1-445D-AB28-973FBD6B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s-ES"/>
    </w:rPr>
  </w:style>
  <w:style w:type="paragraph" w:styleId="Ttulo1">
    <w:name w:val="heading 1"/>
    <w:basedOn w:val="Normal"/>
    <w:next w:val="Normal"/>
    <w:qFormat/>
    <w:pPr>
      <w:keepNext/>
      <w:jc w:val="both"/>
      <w:outlineLvl w:val="0"/>
    </w:pPr>
    <w:rPr>
      <w:b/>
      <w:sz w:val="24"/>
    </w:rPr>
  </w:style>
  <w:style w:type="paragraph" w:styleId="Ttulo2">
    <w:name w:val="heading 2"/>
    <w:basedOn w:val="Normal"/>
    <w:next w:val="Normal"/>
    <w:qFormat/>
    <w:pPr>
      <w:keepNext/>
      <w:outlineLvl w:val="1"/>
    </w:pPr>
    <w:rPr>
      <w:sz w:val="24"/>
      <w:lang w:val="es-ES"/>
    </w:rPr>
  </w:style>
  <w:style w:type="paragraph" w:styleId="Ttulo3">
    <w:name w:val="heading 3"/>
    <w:basedOn w:val="Normal"/>
    <w:next w:val="Normal"/>
    <w:link w:val="Ttulo3Car"/>
    <w:qFormat/>
    <w:pPr>
      <w:keepNext/>
      <w:tabs>
        <w:tab w:val="left" w:pos="1276"/>
      </w:tabs>
      <w:jc w:val="center"/>
      <w:outlineLvl w:val="2"/>
    </w:pPr>
    <w:rPr>
      <w:b/>
      <w:bCs/>
      <w:sz w:val="24"/>
      <w:lang w:val="es-ES"/>
    </w:rPr>
  </w:style>
  <w:style w:type="paragraph" w:styleId="Ttulo4">
    <w:name w:val="heading 4"/>
    <w:basedOn w:val="Normal"/>
    <w:next w:val="Normal"/>
    <w:qFormat/>
    <w:pPr>
      <w:keepNext/>
      <w:jc w:val="center"/>
      <w:outlineLvl w:val="3"/>
    </w:pPr>
    <w:rPr>
      <w:rFonts w:ascii="Arial" w:hAnsi="Arial" w:cs="Arial"/>
      <w:b/>
      <w:bCs/>
      <w:lang w:val="es-ES"/>
    </w:rPr>
  </w:style>
  <w:style w:type="paragraph" w:styleId="Ttulo5">
    <w:name w:val="heading 5"/>
    <w:basedOn w:val="Normal"/>
    <w:next w:val="Normal"/>
    <w:qFormat/>
    <w:pPr>
      <w:keepNext/>
      <w:tabs>
        <w:tab w:val="left" w:pos="1276"/>
      </w:tabs>
      <w:jc w:val="center"/>
      <w:outlineLvl w:val="4"/>
    </w:pPr>
    <w:rPr>
      <w:sz w:val="24"/>
      <w:lang w:val="es-ES"/>
    </w:rPr>
  </w:style>
  <w:style w:type="paragraph" w:styleId="Ttulo6">
    <w:name w:val="heading 6"/>
    <w:basedOn w:val="Normal"/>
    <w:next w:val="Normal"/>
    <w:qFormat/>
    <w:pPr>
      <w:keepNext/>
      <w:jc w:val="center"/>
      <w:outlineLvl w:val="5"/>
    </w:pPr>
    <w:rPr>
      <w:b/>
      <w:bCs/>
      <w:sz w:val="16"/>
      <w:lang w:val="es-ES"/>
    </w:rPr>
  </w:style>
  <w:style w:type="paragraph" w:styleId="Ttulo7">
    <w:name w:val="heading 7"/>
    <w:basedOn w:val="Normal"/>
    <w:next w:val="Normal"/>
    <w:qFormat/>
    <w:pPr>
      <w:keepNext/>
      <w:outlineLvl w:val="6"/>
    </w:pPr>
    <w:rPr>
      <w:b/>
      <w:bCs/>
      <w:sz w:val="16"/>
      <w:lang w:val="es-ES"/>
    </w:rPr>
  </w:style>
  <w:style w:type="paragraph" w:styleId="Ttulo8">
    <w:name w:val="heading 8"/>
    <w:basedOn w:val="Normal"/>
    <w:next w:val="Normal"/>
    <w:qFormat/>
    <w:pPr>
      <w:keepNext/>
      <w:ind w:firstLine="360"/>
      <w:jc w:val="both"/>
      <w:outlineLvl w:val="7"/>
    </w:pPr>
    <w:rPr>
      <w:rFonts w:ascii="Arial Narrow" w:hAnsi="Arial Narrow"/>
      <w:b/>
      <w:sz w:val="24"/>
      <w:szCs w:val="24"/>
      <w:u w:val="single"/>
      <w:lang w:val="es-ES"/>
    </w:rPr>
  </w:style>
  <w:style w:type="paragraph" w:styleId="Ttulo9">
    <w:name w:val="heading 9"/>
    <w:basedOn w:val="Normal"/>
    <w:next w:val="Normal"/>
    <w:qFormat/>
    <w:pPr>
      <w:keepNext/>
      <w:ind w:left="360"/>
      <w:jc w:val="center"/>
      <w:outlineLvl w:val="8"/>
    </w:pPr>
    <w:rPr>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sz w:val="24"/>
    </w:rPr>
  </w:style>
  <w:style w:type="paragraph" w:styleId="Puesto">
    <w:name w:val="Title"/>
    <w:basedOn w:val="Normal"/>
    <w:qFormat/>
    <w:pPr>
      <w:tabs>
        <w:tab w:val="left" w:pos="284"/>
        <w:tab w:val="left" w:pos="851"/>
      </w:tabs>
      <w:jc w:val="center"/>
    </w:pPr>
    <w:rPr>
      <w:b/>
      <w:sz w:val="30"/>
    </w:rPr>
  </w:style>
  <w:style w:type="paragraph" w:styleId="Textoindependiente2">
    <w:name w:val="Body Text 2"/>
    <w:basedOn w:val="Normal"/>
    <w:semiHidden/>
    <w:pPr>
      <w:jc w:val="both"/>
    </w:pPr>
    <w:rPr>
      <w:b/>
      <w:sz w:val="24"/>
      <w:lang w:val="es-ES"/>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semiHidden/>
    <w:pPr>
      <w:tabs>
        <w:tab w:val="center" w:pos="4252"/>
        <w:tab w:val="right" w:pos="8504"/>
      </w:tabs>
    </w:pPr>
  </w:style>
  <w:style w:type="paragraph" w:styleId="Sangradetextonormal">
    <w:name w:val="Body Text Indent"/>
    <w:basedOn w:val="Normal"/>
    <w:link w:val="SangradetextonormalCar"/>
    <w:semiHidden/>
    <w:pPr>
      <w:ind w:left="709"/>
      <w:jc w:val="both"/>
    </w:pPr>
    <w:rPr>
      <w:sz w:val="24"/>
      <w:lang w:val="es-ES"/>
    </w:rPr>
  </w:style>
  <w:style w:type="paragraph" w:styleId="Sangra2detindependiente">
    <w:name w:val="Body Text Indent 2"/>
    <w:basedOn w:val="Normal"/>
    <w:semiHidden/>
    <w:pPr>
      <w:ind w:left="709" w:hanging="709"/>
      <w:jc w:val="both"/>
    </w:pPr>
    <w:rPr>
      <w:sz w:val="24"/>
      <w:lang w:val="es-ES"/>
    </w:rPr>
  </w:style>
  <w:style w:type="paragraph" w:styleId="Sangra3detindependiente">
    <w:name w:val="Body Text Indent 3"/>
    <w:basedOn w:val="Normal"/>
    <w:semiHidden/>
    <w:pPr>
      <w:ind w:left="720"/>
      <w:jc w:val="both"/>
    </w:pPr>
    <w:rPr>
      <w:sz w:val="24"/>
      <w:lang w:val="es-ES"/>
    </w:rPr>
  </w:style>
  <w:style w:type="paragraph" w:customStyle="1" w:styleId="noparagraphstyle">
    <w:name w:val="noparagraphstyle"/>
    <w:basedOn w:val="Normal"/>
    <w:pPr>
      <w:spacing w:before="100" w:beforeAutospacing="1" w:after="100" w:afterAutospacing="1"/>
    </w:pPr>
    <w:rPr>
      <w:rFonts w:ascii="Arial Unicode MS" w:eastAsia="Arial Unicode MS" w:hAnsi="Arial Unicode MS" w:cs="Arial Unicode MS"/>
      <w:sz w:val="24"/>
      <w:szCs w:val="24"/>
      <w:lang w:val="es-ES"/>
    </w:rPr>
  </w:style>
  <w:style w:type="character" w:styleId="Nmerodepgina">
    <w:name w:val="page number"/>
    <w:basedOn w:val="Fuentedeprrafopredeter"/>
    <w:semiHidden/>
  </w:style>
  <w:style w:type="character" w:styleId="Refdecomentario">
    <w:name w:val="annotation reference"/>
    <w:semiHidden/>
    <w:rPr>
      <w:sz w:val="16"/>
      <w:szCs w:val="16"/>
    </w:rPr>
  </w:style>
  <w:style w:type="paragraph" w:styleId="Textocomentario">
    <w:name w:val="annotation text"/>
    <w:basedOn w:val="Normal"/>
    <w:semiHidden/>
  </w:style>
  <w:style w:type="character" w:styleId="Hipervnculo">
    <w:name w:val="Hyperlink"/>
    <w:semiHidden/>
    <w:rPr>
      <w:color w:val="0000FF"/>
      <w:u w:val="single"/>
    </w:rPr>
  </w:style>
  <w:style w:type="paragraph" w:customStyle="1" w:styleId="xl24">
    <w:name w:val="xl24"/>
    <w:basedOn w:val="Normal"/>
    <w:pPr>
      <w:spacing w:before="100" w:beforeAutospacing="1" w:after="100" w:afterAutospacing="1"/>
    </w:pPr>
    <w:rPr>
      <w:rFonts w:eastAsia="Arial Unicode MS"/>
      <w:sz w:val="24"/>
      <w:szCs w:val="24"/>
      <w:lang w:val="es-ES"/>
    </w:rPr>
  </w:style>
  <w:style w:type="paragraph" w:customStyle="1" w:styleId="xl25">
    <w:name w:val="xl25"/>
    <w:basedOn w:val="Normal"/>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b/>
      <w:bCs/>
      <w:sz w:val="24"/>
      <w:szCs w:val="24"/>
      <w:lang w:val="es-ES"/>
    </w:rPr>
  </w:style>
  <w:style w:type="paragraph" w:customStyle="1" w:styleId="xl26">
    <w:name w:val="xl26"/>
    <w:basedOn w:val="Normal"/>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Arial Unicode MS"/>
      <w:sz w:val="16"/>
      <w:szCs w:val="16"/>
      <w:lang w:val="es-ES"/>
    </w:rPr>
  </w:style>
  <w:style w:type="paragraph" w:customStyle="1" w:styleId="xl27">
    <w:name w:val="xl27"/>
    <w:basedOn w:val="Normal"/>
    <w:pPr>
      <w:spacing w:before="100" w:beforeAutospacing="1" w:after="100" w:afterAutospacing="1"/>
      <w:jc w:val="center"/>
    </w:pPr>
    <w:rPr>
      <w:rFonts w:eastAsia="Arial Unicode MS"/>
      <w:b/>
      <w:bCs/>
      <w:sz w:val="24"/>
      <w:szCs w:val="24"/>
      <w:lang w:val="es-ES"/>
    </w:rPr>
  </w:style>
  <w:style w:type="paragraph" w:customStyle="1" w:styleId="xl28">
    <w:name w:val="xl28"/>
    <w:basedOn w:val="Normal"/>
    <w:pPr>
      <w:pBdr>
        <w:top w:val="single" w:sz="8" w:space="0" w:color="auto"/>
        <w:left w:val="single" w:sz="8" w:space="0" w:color="auto"/>
        <w:right w:val="single" w:sz="8" w:space="0" w:color="auto"/>
      </w:pBdr>
      <w:spacing w:before="100" w:beforeAutospacing="1" w:after="100" w:afterAutospacing="1"/>
      <w:jc w:val="center"/>
    </w:pPr>
    <w:rPr>
      <w:rFonts w:eastAsia="Arial Unicode MS"/>
      <w:b/>
      <w:bCs/>
      <w:sz w:val="24"/>
      <w:szCs w:val="24"/>
      <w:lang w:val="es-ES"/>
    </w:rPr>
  </w:style>
  <w:style w:type="paragraph" w:customStyle="1" w:styleId="xl29">
    <w:name w:val="xl29"/>
    <w:basedOn w:val="Normal"/>
    <w:pPr>
      <w:pBdr>
        <w:top w:val="single" w:sz="4" w:space="0" w:color="auto"/>
        <w:bottom w:val="single" w:sz="4" w:space="0" w:color="auto"/>
        <w:right w:val="single" w:sz="8" w:space="0" w:color="auto"/>
      </w:pBdr>
      <w:spacing w:before="100" w:beforeAutospacing="1" w:after="100" w:afterAutospacing="1"/>
    </w:pPr>
    <w:rPr>
      <w:rFonts w:eastAsia="Arial Unicode MS"/>
      <w:sz w:val="24"/>
      <w:szCs w:val="24"/>
      <w:lang w:val="es-ES"/>
    </w:rPr>
  </w:style>
  <w:style w:type="paragraph" w:customStyle="1" w:styleId="xl30">
    <w:name w:val="xl30"/>
    <w:basedOn w:val="Normal"/>
    <w:pPr>
      <w:pBdr>
        <w:top w:val="single" w:sz="4" w:space="0" w:color="auto"/>
        <w:bottom w:val="single" w:sz="4" w:space="0" w:color="auto"/>
        <w:right w:val="single" w:sz="8" w:space="0" w:color="auto"/>
      </w:pBdr>
      <w:spacing w:before="100" w:beforeAutospacing="1" w:after="100" w:afterAutospacing="1"/>
    </w:pPr>
    <w:rPr>
      <w:rFonts w:eastAsia="Arial Unicode MS"/>
      <w:sz w:val="16"/>
      <w:szCs w:val="16"/>
      <w:lang w:val="es-ES"/>
    </w:rPr>
  </w:style>
  <w:style w:type="paragraph" w:customStyle="1" w:styleId="xl31">
    <w:name w:val="xl31"/>
    <w:basedOn w:val="Normal"/>
    <w:pPr>
      <w:pBdr>
        <w:top w:val="single" w:sz="4" w:space="0" w:color="auto"/>
        <w:right w:val="single" w:sz="8" w:space="0" w:color="auto"/>
      </w:pBdr>
      <w:spacing w:before="100" w:beforeAutospacing="1" w:after="100" w:afterAutospacing="1"/>
    </w:pPr>
    <w:rPr>
      <w:rFonts w:eastAsia="Arial Unicode MS"/>
      <w:sz w:val="24"/>
      <w:szCs w:val="24"/>
      <w:lang w:val="es-ES"/>
    </w:rPr>
  </w:style>
  <w:style w:type="paragraph" w:customStyle="1" w:styleId="xl32">
    <w:name w:val="xl32"/>
    <w:basedOn w:val="Normal"/>
    <w:pPr>
      <w:pBdr>
        <w:left w:val="single" w:sz="8" w:space="0" w:color="auto"/>
        <w:bottom w:val="single" w:sz="8" w:space="0" w:color="auto"/>
      </w:pBdr>
      <w:spacing w:before="100" w:beforeAutospacing="1" w:after="100" w:afterAutospacing="1"/>
      <w:jc w:val="center"/>
    </w:pPr>
    <w:rPr>
      <w:rFonts w:eastAsia="Arial Unicode MS"/>
      <w:b/>
      <w:bCs/>
      <w:sz w:val="24"/>
      <w:szCs w:val="24"/>
      <w:lang w:val="es-ES"/>
    </w:rPr>
  </w:style>
  <w:style w:type="paragraph" w:customStyle="1" w:styleId="xl33">
    <w:name w:val="xl33"/>
    <w:basedOn w:val="Normal"/>
    <w:pPr>
      <w:pBdr>
        <w:top w:val="single" w:sz="8" w:space="0" w:color="auto"/>
        <w:left w:val="single" w:sz="8" w:space="0" w:color="auto"/>
        <w:bottom w:val="single" w:sz="4" w:space="0" w:color="auto"/>
        <w:right w:val="single" w:sz="8" w:space="0" w:color="auto"/>
      </w:pBdr>
      <w:spacing w:before="100" w:beforeAutospacing="1" w:after="100" w:afterAutospacing="1"/>
    </w:pPr>
    <w:rPr>
      <w:rFonts w:ascii="Courier New" w:eastAsia="Arial Unicode MS" w:hAnsi="Courier New" w:cs="Courier New"/>
      <w:sz w:val="16"/>
      <w:szCs w:val="16"/>
      <w:lang w:val="es-ES"/>
    </w:rPr>
  </w:style>
  <w:style w:type="paragraph" w:customStyle="1" w:styleId="xl34">
    <w:name w:val="xl34"/>
    <w:basedOn w:val="Normal"/>
    <w:pPr>
      <w:pBdr>
        <w:top w:val="single" w:sz="4" w:space="0" w:color="auto"/>
        <w:left w:val="single" w:sz="8" w:space="0" w:color="auto"/>
        <w:bottom w:val="single" w:sz="4" w:space="0" w:color="auto"/>
        <w:right w:val="single" w:sz="8" w:space="0" w:color="auto"/>
      </w:pBdr>
      <w:spacing w:before="100" w:beforeAutospacing="1" w:after="100" w:afterAutospacing="1"/>
    </w:pPr>
    <w:rPr>
      <w:rFonts w:ascii="Courier New" w:eastAsia="Arial Unicode MS" w:hAnsi="Courier New" w:cs="Courier New"/>
      <w:sz w:val="16"/>
      <w:szCs w:val="16"/>
      <w:lang w:val="es-ES"/>
    </w:rPr>
  </w:style>
  <w:style w:type="paragraph" w:styleId="Textodeglobo">
    <w:name w:val="Balloon Text"/>
    <w:basedOn w:val="Normal"/>
    <w:link w:val="TextodegloboCar"/>
    <w:uiPriority w:val="99"/>
    <w:semiHidden/>
    <w:unhideWhenUsed/>
    <w:rsid w:val="00D46559"/>
    <w:rPr>
      <w:rFonts w:ascii="Tahoma" w:hAnsi="Tahoma" w:cs="Tahoma"/>
      <w:sz w:val="16"/>
      <w:szCs w:val="16"/>
    </w:rPr>
  </w:style>
  <w:style w:type="character" w:customStyle="1" w:styleId="TextodegloboCar">
    <w:name w:val="Texto de globo Car"/>
    <w:link w:val="Textodeglobo"/>
    <w:uiPriority w:val="99"/>
    <w:semiHidden/>
    <w:rsid w:val="00D46559"/>
    <w:rPr>
      <w:rFonts w:ascii="Tahoma" w:hAnsi="Tahoma" w:cs="Tahoma"/>
      <w:sz w:val="16"/>
      <w:szCs w:val="16"/>
      <w:lang w:val="en-US" w:eastAsia="es-ES"/>
    </w:rPr>
  </w:style>
  <w:style w:type="character" w:customStyle="1" w:styleId="EncabezadoCar">
    <w:name w:val="Encabezado Car"/>
    <w:link w:val="Encabezado"/>
    <w:uiPriority w:val="99"/>
    <w:rsid w:val="00F76E78"/>
    <w:rPr>
      <w:lang w:val="en-US" w:eastAsia="es-ES"/>
    </w:rPr>
  </w:style>
  <w:style w:type="character" w:customStyle="1" w:styleId="SangradetextonormalCar">
    <w:name w:val="Sangría de texto normal Car"/>
    <w:link w:val="Sangradetextonormal"/>
    <w:semiHidden/>
    <w:rsid w:val="006333F6"/>
    <w:rPr>
      <w:sz w:val="24"/>
      <w:lang w:val="es-ES" w:eastAsia="es-ES"/>
    </w:rPr>
  </w:style>
  <w:style w:type="character" w:customStyle="1" w:styleId="Ttulo3Car">
    <w:name w:val="Título 3 Car"/>
    <w:link w:val="Ttulo3"/>
    <w:rsid w:val="002D306C"/>
    <w:rPr>
      <w:b/>
      <w:bCs/>
      <w:sz w:val="24"/>
      <w:lang w:val="es-ES" w:eastAsia="es-ES"/>
    </w:rPr>
  </w:style>
  <w:style w:type="table" w:styleId="Cuadrculaclara-nfasis1">
    <w:name w:val="Light Grid Accent 1"/>
    <w:basedOn w:val="Tablanormal"/>
    <w:uiPriority w:val="62"/>
    <w:rsid w:val="002D306C"/>
    <w:rPr>
      <w:rFonts w:ascii="Calibri" w:hAnsi="Calibri"/>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9381">
      <w:bodyDiv w:val="1"/>
      <w:marLeft w:val="0"/>
      <w:marRight w:val="0"/>
      <w:marTop w:val="0"/>
      <w:marBottom w:val="0"/>
      <w:divBdr>
        <w:top w:val="none" w:sz="0" w:space="0" w:color="auto"/>
        <w:left w:val="none" w:sz="0" w:space="0" w:color="auto"/>
        <w:bottom w:val="none" w:sz="0" w:space="0" w:color="auto"/>
        <w:right w:val="none" w:sz="0" w:space="0" w:color="auto"/>
      </w:divBdr>
    </w:div>
    <w:div w:id="20861077">
      <w:bodyDiv w:val="1"/>
      <w:marLeft w:val="0"/>
      <w:marRight w:val="0"/>
      <w:marTop w:val="0"/>
      <w:marBottom w:val="0"/>
      <w:divBdr>
        <w:top w:val="none" w:sz="0" w:space="0" w:color="auto"/>
        <w:left w:val="none" w:sz="0" w:space="0" w:color="auto"/>
        <w:bottom w:val="none" w:sz="0" w:space="0" w:color="auto"/>
        <w:right w:val="none" w:sz="0" w:space="0" w:color="auto"/>
      </w:divBdr>
    </w:div>
    <w:div w:id="43213294">
      <w:bodyDiv w:val="1"/>
      <w:marLeft w:val="0"/>
      <w:marRight w:val="0"/>
      <w:marTop w:val="0"/>
      <w:marBottom w:val="0"/>
      <w:divBdr>
        <w:top w:val="none" w:sz="0" w:space="0" w:color="auto"/>
        <w:left w:val="none" w:sz="0" w:space="0" w:color="auto"/>
        <w:bottom w:val="none" w:sz="0" w:space="0" w:color="auto"/>
        <w:right w:val="none" w:sz="0" w:space="0" w:color="auto"/>
      </w:divBdr>
    </w:div>
    <w:div w:id="67308174">
      <w:bodyDiv w:val="1"/>
      <w:marLeft w:val="0"/>
      <w:marRight w:val="0"/>
      <w:marTop w:val="0"/>
      <w:marBottom w:val="0"/>
      <w:divBdr>
        <w:top w:val="none" w:sz="0" w:space="0" w:color="auto"/>
        <w:left w:val="none" w:sz="0" w:space="0" w:color="auto"/>
        <w:bottom w:val="none" w:sz="0" w:space="0" w:color="auto"/>
        <w:right w:val="none" w:sz="0" w:space="0" w:color="auto"/>
      </w:divBdr>
    </w:div>
    <w:div w:id="82604909">
      <w:bodyDiv w:val="1"/>
      <w:marLeft w:val="0"/>
      <w:marRight w:val="0"/>
      <w:marTop w:val="0"/>
      <w:marBottom w:val="0"/>
      <w:divBdr>
        <w:top w:val="none" w:sz="0" w:space="0" w:color="auto"/>
        <w:left w:val="none" w:sz="0" w:space="0" w:color="auto"/>
        <w:bottom w:val="none" w:sz="0" w:space="0" w:color="auto"/>
        <w:right w:val="none" w:sz="0" w:space="0" w:color="auto"/>
      </w:divBdr>
    </w:div>
    <w:div w:id="87972490">
      <w:bodyDiv w:val="1"/>
      <w:marLeft w:val="0"/>
      <w:marRight w:val="0"/>
      <w:marTop w:val="0"/>
      <w:marBottom w:val="0"/>
      <w:divBdr>
        <w:top w:val="none" w:sz="0" w:space="0" w:color="auto"/>
        <w:left w:val="none" w:sz="0" w:space="0" w:color="auto"/>
        <w:bottom w:val="none" w:sz="0" w:space="0" w:color="auto"/>
        <w:right w:val="none" w:sz="0" w:space="0" w:color="auto"/>
      </w:divBdr>
    </w:div>
    <w:div w:id="88889235">
      <w:bodyDiv w:val="1"/>
      <w:marLeft w:val="0"/>
      <w:marRight w:val="0"/>
      <w:marTop w:val="0"/>
      <w:marBottom w:val="0"/>
      <w:divBdr>
        <w:top w:val="none" w:sz="0" w:space="0" w:color="auto"/>
        <w:left w:val="none" w:sz="0" w:space="0" w:color="auto"/>
        <w:bottom w:val="none" w:sz="0" w:space="0" w:color="auto"/>
        <w:right w:val="none" w:sz="0" w:space="0" w:color="auto"/>
      </w:divBdr>
    </w:div>
    <w:div w:id="89132572">
      <w:bodyDiv w:val="1"/>
      <w:marLeft w:val="0"/>
      <w:marRight w:val="0"/>
      <w:marTop w:val="0"/>
      <w:marBottom w:val="0"/>
      <w:divBdr>
        <w:top w:val="none" w:sz="0" w:space="0" w:color="auto"/>
        <w:left w:val="none" w:sz="0" w:space="0" w:color="auto"/>
        <w:bottom w:val="none" w:sz="0" w:space="0" w:color="auto"/>
        <w:right w:val="none" w:sz="0" w:space="0" w:color="auto"/>
      </w:divBdr>
    </w:div>
    <w:div w:id="92481875">
      <w:bodyDiv w:val="1"/>
      <w:marLeft w:val="0"/>
      <w:marRight w:val="0"/>
      <w:marTop w:val="0"/>
      <w:marBottom w:val="0"/>
      <w:divBdr>
        <w:top w:val="none" w:sz="0" w:space="0" w:color="auto"/>
        <w:left w:val="none" w:sz="0" w:space="0" w:color="auto"/>
        <w:bottom w:val="none" w:sz="0" w:space="0" w:color="auto"/>
        <w:right w:val="none" w:sz="0" w:space="0" w:color="auto"/>
      </w:divBdr>
    </w:div>
    <w:div w:id="99036713">
      <w:bodyDiv w:val="1"/>
      <w:marLeft w:val="0"/>
      <w:marRight w:val="0"/>
      <w:marTop w:val="0"/>
      <w:marBottom w:val="0"/>
      <w:divBdr>
        <w:top w:val="none" w:sz="0" w:space="0" w:color="auto"/>
        <w:left w:val="none" w:sz="0" w:space="0" w:color="auto"/>
        <w:bottom w:val="none" w:sz="0" w:space="0" w:color="auto"/>
        <w:right w:val="none" w:sz="0" w:space="0" w:color="auto"/>
      </w:divBdr>
    </w:div>
    <w:div w:id="115688061">
      <w:bodyDiv w:val="1"/>
      <w:marLeft w:val="0"/>
      <w:marRight w:val="0"/>
      <w:marTop w:val="0"/>
      <w:marBottom w:val="0"/>
      <w:divBdr>
        <w:top w:val="none" w:sz="0" w:space="0" w:color="auto"/>
        <w:left w:val="none" w:sz="0" w:space="0" w:color="auto"/>
        <w:bottom w:val="none" w:sz="0" w:space="0" w:color="auto"/>
        <w:right w:val="none" w:sz="0" w:space="0" w:color="auto"/>
      </w:divBdr>
    </w:div>
    <w:div w:id="138965171">
      <w:bodyDiv w:val="1"/>
      <w:marLeft w:val="0"/>
      <w:marRight w:val="0"/>
      <w:marTop w:val="0"/>
      <w:marBottom w:val="0"/>
      <w:divBdr>
        <w:top w:val="none" w:sz="0" w:space="0" w:color="auto"/>
        <w:left w:val="none" w:sz="0" w:space="0" w:color="auto"/>
        <w:bottom w:val="none" w:sz="0" w:space="0" w:color="auto"/>
        <w:right w:val="none" w:sz="0" w:space="0" w:color="auto"/>
      </w:divBdr>
    </w:div>
    <w:div w:id="146017737">
      <w:bodyDiv w:val="1"/>
      <w:marLeft w:val="0"/>
      <w:marRight w:val="0"/>
      <w:marTop w:val="0"/>
      <w:marBottom w:val="0"/>
      <w:divBdr>
        <w:top w:val="none" w:sz="0" w:space="0" w:color="auto"/>
        <w:left w:val="none" w:sz="0" w:space="0" w:color="auto"/>
        <w:bottom w:val="none" w:sz="0" w:space="0" w:color="auto"/>
        <w:right w:val="none" w:sz="0" w:space="0" w:color="auto"/>
      </w:divBdr>
    </w:div>
    <w:div w:id="173686829">
      <w:bodyDiv w:val="1"/>
      <w:marLeft w:val="0"/>
      <w:marRight w:val="0"/>
      <w:marTop w:val="0"/>
      <w:marBottom w:val="0"/>
      <w:divBdr>
        <w:top w:val="none" w:sz="0" w:space="0" w:color="auto"/>
        <w:left w:val="none" w:sz="0" w:space="0" w:color="auto"/>
        <w:bottom w:val="none" w:sz="0" w:space="0" w:color="auto"/>
        <w:right w:val="none" w:sz="0" w:space="0" w:color="auto"/>
      </w:divBdr>
    </w:div>
    <w:div w:id="176358191">
      <w:bodyDiv w:val="1"/>
      <w:marLeft w:val="0"/>
      <w:marRight w:val="0"/>
      <w:marTop w:val="0"/>
      <w:marBottom w:val="0"/>
      <w:divBdr>
        <w:top w:val="none" w:sz="0" w:space="0" w:color="auto"/>
        <w:left w:val="none" w:sz="0" w:space="0" w:color="auto"/>
        <w:bottom w:val="none" w:sz="0" w:space="0" w:color="auto"/>
        <w:right w:val="none" w:sz="0" w:space="0" w:color="auto"/>
      </w:divBdr>
    </w:div>
    <w:div w:id="181743318">
      <w:bodyDiv w:val="1"/>
      <w:marLeft w:val="0"/>
      <w:marRight w:val="0"/>
      <w:marTop w:val="0"/>
      <w:marBottom w:val="0"/>
      <w:divBdr>
        <w:top w:val="none" w:sz="0" w:space="0" w:color="auto"/>
        <w:left w:val="none" w:sz="0" w:space="0" w:color="auto"/>
        <w:bottom w:val="none" w:sz="0" w:space="0" w:color="auto"/>
        <w:right w:val="none" w:sz="0" w:space="0" w:color="auto"/>
      </w:divBdr>
    </w:div>
    <w:div w:id="203299694">
      <w:bodyDiv w:val="1"/>
      <w:marLeft w:val="0"/>
      <w:marRight w:val="0"/>
      <w:marTop w:val="0"/>
      <w:marBottom w:val="0"/>
      <w:divBdr>
        <w:top w:val="none" w:sz="0" w:space="0" w:color="auto"/>
        <w:left w:val="none" w:sz="0" w:space="0" w:color="auto"/>
        <w:bottom w:val="none" w:sz="0" w:space="0" w:color="auto"/>
        <w:right w:val="none" w:sz="0" w:space="0" w:color="auto"/>
      </w:divBdr>
    </w:div>
    <w:div w:id="204684269">
      <w:bodyDiv w:val="1"/>
      <w:marLeft w:val="0"/>
      <w:marRight w:val="0"/>
      <w:marTop w:val="0"/>
      <w:marBottom w:val="0"/>
      <w:divBdr>
        <w:top w:val="none" w:sz="0" w:space="0" w:color="auto"/>
        <w:left w:val="none" w:sz="0" w:space="0" w:color="auto"/>
        <w:bottom w:val="none" w:sz="0" w:space="0" w:color="auto"/>
        <w:right w:val="none" w:sz="0" w:space="0" w:color="auto"/>
      </w:divBdr>
    </w:div>
    <w:div w:id="235165463">
      <w:bodyDiv w:val="1"/>
      <w:marLeft w:val="0"/>
      <w:marRight w:val="0"/>
      <w:marTop w:val="0"/>
      <w:marBottom w:val="0"/>
      <w:divBdr>
        <w:top w:val="none" w:sz="0" w:space="0" w:color="auto"/>
        <w:left w:val="none" w:sz="0" w:space="0" w:color="auto"/>
        <w:bottom w:val="none" w:sz="0" w:space="0" w:color="auto"/>
        <w:right w:val="none" w:sz="0" w:space="0" w:color="auto"/>
      </w:divBdr>
    </w:div>
    <w:div w:id="237254435">
      <w:bodyDiv w:val="1"/>
      <w:marLeft w:val="0"/>
      <w:marRight w:val="0"/>
      <w:marTop w:val="0"/>
      <w:marBottom w:val="0"/>
      <w:divBdr>
        <w:top w:val="none" w:sz="0" w:space="0" w:color="auto"/>
        <w:left w:val="none" w:sz="0" w:space="0" w:color="auto"/>
        <w:bottom w:val="none" w:sz="0" w:space="0" w:color="auto"/>
        <w:right w:val="none" w:sz="0" w:space="0" w:color="auto"/>
      </w:divBdr>
    </w:div>
    <w:div w:id="267009094">
      <w:bodyDiv w:val="1"/>
      <w:marLeft w:val="0"/>
      <w:marRight w:val="0"/>
      <w:marTop w:val="0"/>
      <w:marBottom w:val="0"/>
      <w:divBdr>
        <w:top w:val="none" w:sz="0" w:space="0" w:color="auto"/>
        <w:left w:val="none" w:sz="0" w:space="0" w:color="auto"/>
        <w:bottom w:val="none" w:sz="0" w:space="0" w:color="auto"/>
        <w:right w:val="none" w:sz="0" w:space="0" w:color="auto"/>
      </w:divBdr>
    </w:div>
    <w:div w:id="271253945">
      <w:bodyDiv w:val="1"/>
      <w:marLeft w:val="0"/>
      <w:marRight w:val="0"/>
      <w:marTop w:val="0"/>
      <w:marBottom w:val="0"/>
      <w:divBdr>
        <w:top w:val="none" w:sz="0" w:space="0" w:color="auto"/>
        <w:left w:val="none" w:sz="0" w:space="0" w:color="auto"/>
        <w:bottom w:val="none" w:sz="0" w:space="0" w:color="auto"/>
        <w:right w:val="none" w:sz="0" w:space="0" w:color="auto"/>
      </w:divBdr>
    </w:div>
    <w:div w:id="285047863">
      <w:bodyDiv w:val="1"/>
      <w:marLeft w:val="0"/>
      <w:marRight w:val="0"/>
      <w:marTop w:val="0"/>
      <w:marBottom w:val="0"/>
      <w:divBdr>
        <w:top w:val="none" w:sz="0" w:space="0" w:color="auto"/>
        <w:left w:val="none" w:sz="0" w:space="0" w:color="auto"/>
        <w:bottom w:val="none" w:sz="0" w:space="0" w:color="auto"/>
        <w:right w:val="none" w:sz="0" w:space="0" w:color="auto"/>
      </w:divBdr>
    </w:div>
    <w:div w:id="300697462">
      <w:bodyDiv w:val="1"/>
      <w:marLeft w:val="0"/>
      <w:marRight w:val="0"/>
      <w:marTop w:val="0"/>
      <w:marBottom w:val="0"/>
      <w:divBdr>
        <w:top w:val="none" w:sz="0" w:space="0" w:color="auto"/>
        <w:left w:val="none" w:sz="0" w:space="0" w:color="auto"/>
        <w:bottom w:val="none" w:sz="0" w:space="0" w:color="auto"/>
        <w:right w:val="none" w:sz="0" w:space="0" w:color="auto"/>
      </w:divBdr>
    </w:div>
    <w:div w:id="320696160">
      <w:bodyDiv w:val="1"/>
      <w:marLeft w:val="0"/>
      <w:marRight w:val="0"/>
      <w:marTop w:val="0"/>
      <w:marBottom w:val="0"/>
      <w:divBdr>
        <w:top w:val="none" w:sz="0" w:space="0" w:color="auto"/>
        <w:left w:val="none" w:sz="0" w:space="0" w:color="auto"/>
        <w:bottom w:val="none" w:sz="0" w:space="0" w:color="auto"/>
        <w:right w:val="none" w:sz="0" w:space="0" w:color="auto"/>
      </w:divBdr>
    </w:div>
    <w:div w:id="324090041">
      <w:bodyDiv w:val="1"/>
      <w:marLeft w:val="0"/>
      <w:marRight w:val="0"/>
      <w:marTop w:val="0"/>
      <w:marBottom w:val="0"/>
      <w:divBdr>
        <w:top w:val="none" w:sz="0" w:space="0" w:color="auto"/>
        <w:left w:val="none" w:sz="0" w:space="0" w:color="auto"/>
        <w:bottom w:val="none" w:sz="0" w:space="0" w:color="auto"/>
        <w:right w:val="none" w:sz="0" w:space="0" w:color="auto"/>
      </w:divBdr>
    </w:div>
    <w:div w:id="344553935">
      <w:bodyDiv w:val="1"/>
      <w:marLeft w:val="0"/>
      <w:marRight w:val="0"/>
      <w:marTop w:val="0"/>
      <w:marBottom w:val="0"/>
      <w:divBdr>
        <w:top w:val="none" w:sz="0" w:space="0" w:color="auto"/>
        <w:left w:val="none" w:sz="0" w:space="0" w:color="auto"/>
        <w:bottom w:val="none" w:sz="0" w:space="0" w:color="auto"/>
        <w:right w:val="none" w:sz="0" w:space="0" w:color="auto"/>
      </w:divBdr>
    </w:div>
    <w:div w:id="373694013">
      <w:bodyDiv w:val="1"/>
      <w:marLeft w:val="0"/>
      <w:marRight w:val="0"/>
      <w:marTop w:val="0"/>
      <w:marBottom w:val="0"/>
      <w:divBdr>
        <w:top w:val="none" w:sz="0" w:space="0" w:color="auto"/>
        <w:left w:val="none" w:sz="0" w:space="0" w:color="auto"/>
        <w:bottom w:val="none" w:sz="0" w:space="0" w:color="auto"/>
        <w:right w:val="none" w:sz="0" w:space="0" w:color="auto"/>
      </w:divBdr>
    </w:div>
    <w:div w:id="376928832">
      <w:bodyDiv w:val="1"/>
      <w:marLeft w:val="0"/>
      <w:marRight w:val="0"/>
      <w:marTop w:val="0"/>
      <w:marBottom w:val="0"/>
      <w:divBdr>
        <w:top w:val="none" w:sz="0" w:space="0" w:color="auto"/>
        <w:left w:val="none" w:sz="0" w:space="0" w:color="auto"/>
        <w:bottom w:val="none" w:sz="0" w:space="0" w:color="auto"/>
        <w:right w:val="none" w:sz="0" w:space="0" w:color="auto"/>
      </w:divBdr>
    </w:div>
    <w:div w:id="421530726">
      <w:bodyDiv w:val="1"/>
      <w:marLeft w:val="0"/>
      <w:marRight w:val="0"/>
      <w:marTop w:val="0"/>
      <w:marBottom w:val="0"/>
      <w:divBdr>
        <w:top w:val="none" w:sz="0" w:space="0" w:color="auto"/>
        <w:left w:val="none" w:sz="0" w:space="0" w:color="auto"/>
        <w:bottom w:val="none" w:sz="0" w:space="0" w:color="auto"/>
        <w:right w:val="none" w:sz="0" w:space="0" w:color="auto"/>
      </w:divBdr>
    </w:div>
    <w:div w:id="433981639">
      <w:bodyDiv w:val="1"/>
      <w:marLeft w:val="0"/>
      <w:marRight w:val="0"/>
      <w:marTop w:val="0"/>
      <w:marBottom w:val="0"/>
      <w:divBdr>
        <w:top w:val="none" w:sz="0" w:space="0" w:color="auto"/>
        <w:left w:val="none" w:sz="0" w:space="0" w:color="auto"/>
        <w:bottom w:val="none" w:sz="0" w:space="0" w:color="auto"/>
        <w:right w:val="none" w:sz="0" w:space="0" w:color="auto"/>
      </w:divBdr>
    </w:div>
    <w:div w:id="446852811">
      <w:bodyDiv w:val="1"/>
      <w:marLeft w:val="0"/>
      <w:marRight w:val="0"/>
      <w:marTop w:val="0"/>
      <w:marBottom w:val="0"/>
      <w:divBdr>
        <w:top w:val="none" w:sz="0" w:space="0" w:color="auto"/>
        <w:left w:val="none" w:sz="0" w:space="0" w:color="auto"/>
        <w:bottom w:val="none" w:sz="0" w:space="0" w:color="auto"/>
        <w:right w:val="none" w:sz="0" w:space="0" w:color="auto"/>
      </w:divBdr>
    </w:div>
    <w:div w:id="467361087">
      <w:bodyDiv w:val="1"/>
      <w:marLeft w:val="0"/>
      <w:marRight w:val="0"/>
      <w:marTop w:val="0"/>
      <w:marBottom w:val="0"/>
      <w:divBdr>
        <w:top w:val="none" w:sz="0" w:space="0" w:color="auto"/>
        <w:left w:val="none" w:sz="0" w:space="0" w:color="auto"/>
        <w:bottom w:val="none" w:sz="0" w:space="0" w:color="auto"/>
        <w:right w:val="none" w:sz="0" w:space="0" w:color="auto"/>
      </w:divBdr>
    </w:div>
    <w:div w:id="474104486">
      <w:bodyDiv w:val="1"/>
      <w:marLeft w:val="0"/>
      <w:marRight w:val="0"/>
      <w:marTop w:val="0"/>
      <w:marBottom w:val="0"/>
      <w:divBdr>
        <w:top w:val="none" w:sz="0" w:space="0" w:color="auto"/>
        <w:left w:val="none" w:sz="0" w:space="0" w:color="auto"/>
        <w:bottom w:val="none" w:sz="0" w:space="0" w:color="auto"/>
        <w:right w:val="none" w:sz="0" w:space="0" w:color="auto"/>
      </w:divBdr>
    </w:div>
    <w:div w:id="489978811">
      <w:bodyDiv w:val="1"/>
      <w:marLeft w:val="0"/>
      <w:marRight w:val="0"/>
      <w:marTop w:val="0"/>
      <w:marBottom w:val="0"/>
      <w:divBdr>
        <w:top w:val="none" w:sz="0" w:space="0" w:color="auto"/>
        <w:left w:val="none" w:sz="0" w:space="0" w:color="auto"/>
        <w:bottom w:val="none" w:sz="0" w:space="0" w:color="auto"/>
        <w:right w:val="none" w:sz="0" w:space="0" w:color="auto"/>
      </w:divBdr>
    </w:div>
    <w:div w:id="490562233">
      <w:bodyDiv w:val="1"/>
      <w:marLeft w:val="0"/>
      <w:marRight w:val="0"/>
      <w:marTop w:val="0"/>
      <w:marBottom w:val="0"/>
      <w:divBdr>
        <w:top w:val="none" w:sz="0" w:space="0" w:color="auto"/>
        <w:left w:val="none" w:sz="0" w:space="0" w:color="auto"/>
        <w:bottom w:val="none" w:sz="0" w:space="0" w:color="auto"/>
        <w:right w:val="none" w:sz="0" w:space="0" w:color="auto"/>
      </w:divBdr>
    </w:div>
    <w:div w:id="502016759">
      <w:bodyDiv w:val="1"/>
      <w:marLeft w:val="0"/>
      <w:marRight w:val="0"/>
      <w:marTop w:val="0"/>
      <w:marBottom w:val="0"/>
      <w:divBdr>
        <w:top w:val="none" w:sz="0" w:space="0" w:color="auto"/>
        <w:left w:val="none" w:sz="0" w:space="0" w:color="auto"/>
        <w:bottom w:val="none" w:sz="0" w:space="0" w:color="auto"/>
        <w:right w:val="none" w:sz="0" w:space="0" w:color="auto"/>
      </w:divBdr>
    </w:div>
    <w:div w:id="530144332">
      <w:bodyDiv w:val="1"/>
      <w:marLeft w:val="0"/>
      <w:marRight w:val="0"/>
      <w:marTop w:val="0"/>
      <w:marBottom w:val="0"/>
      <w:divBdr>
        <w:top w:val="none" w:sz="0" w:space="0" w:color="auto"/>
        <w:left w:val="none" w:sz="0" w:space="0" w:color="auto"/>
        <w:bottom w:val="none" w:sz="0" w:space="0" w:color="auto"/>
        <w:right w:val="none" w:sz="0" w:space="0" w:color="auto"/>
      </w:divBdr>
    </w:div>
    <w:div w:id="556821205">
      <w:bodyDiv w:val="1"/>
      <w:marLeft w:val="0"/>
      <w:marRight w:val="0"/>
      <w:marTop w:val="0"/>
      <w:marBottom w:val="0"/>
      <w:divBdr>
        <w:top w:val="none" w:sz="0" w:space="0" w:color="auto"/>
        <w:left w:val="none" w:sz="0" w:space="0" w:color="auto"/>
        <w:bottom w:val="none" w:sz="0" w:space="0" w:color="auto"/>
        <w:right w:val="none" w:sz="0" w:space="0" w:color="auto"/>
      </w:divBdr>
    </w:div>
    <w:div w:id="557127998">
      <w:bodyDiv w:val="1"/>
      <w:marLeft w:val="0"/>
      <w:marRight w:val="0"/>
      <w:marTop w:val="0"/>
      <w:marBottom w:val="0"/>
      <w:divBdr>
        <w:top w:val="none" w:sz="0" w:space="0" w:color="auto"/>
        <w:left w:val="none" w:sz="0" w:space="0" w:color="auto"/>
        <w:bottom w:val="none" w:sz="0" w:space="0" w:color="auto"/>
        <w:right w:val="none" w:sz="0" w:space="0" w:color="auto"/>
      </w:divBdr>
    </w:div>
    <w:div w:id="582566935">
      <w:bodyDiv w:val="1"/>
      <w:marLeft w:val="0"/>
      <w:marRight w:val="0"/>
      <w:marTop w:val="0"/>
      <w:marBottom w:val="0"/>
      <w:divBdr>
        <w:top w:val="none" w:sz="0" w:space="0" w:color="auto"/>
        <w:left w:val="none" w:sz="0" w:space="0" w:color="auto"/>
        <w:bottom w:val="none" w:sz="0" w:space="0" w:color="auto"/>
        <w:right w:val="none" w:sz="0" w:space="0" w:color="auto"/>
      </w:divBdr>
    </w:div>
    <w:div w:id="584725270">
      <w:bodyDiv w:val="1"/>
      <w:marLeft w:val="0"/>
      <w:marRight w:val="0"/>
      <w:marTop w:val="0"/>
      <w:marBottom w:val="0"/>
      <w:divBdr>
        <w:top w:val="none" w:sz="0" w:space="0" w:color="auto"/>
        <w:left w:val="none" w:sz="0" w:space="0" w:color="auto"/>
        <w:bottom w:val="none" w:sz="0" w:space="0" w:color="auto"/>
        <w:right w:val="none" w:sz="0" w:space="0" w:color="auto"/>
      </w:divBdr>
    </w:div>
    <w:div w:id="597713788">
      <w:bodyDiv w:val="1"/>
      <w:marLeft w:val="0"/>
      <w:marRight w:val="0"/>
      <w:marTop w:val="0"/>
      <w:marBottom w:val="0"/>
      <w:divBdr>
        <w:top w:val="none" w:sz="0" w:space="0" w:color="auto"/>
        <w:left w:val="none" w:sz="0" w:space="0" w:color="auto"/>
        <w:bottom w:val="none" w:sz="0" w:space="0" w:color="auto"/>
        <w:right w:val="none" w:sz="0" w:space="0" w:color="auto"/>
      </w:divBdr>
    </w:div>
    <w:div w:id="617837394">
      <w:bodyDiv w:val="1"/>
      <w:marLeft w:val="0"/>
      <w:marRight w:val="0"/>
      <w:marTop w:val="0"/>
      <w:marBottom w:val="0"/>
      <w:divBdr>
        <w:top w:val="none" w:sz="0" w:space="0" w:color="auto"/>
        <w:left w:val="none" w:sz="0" w:space="0" w:color="auto"/>
        <w:bottom w:val="none" w:sz="0" w:space="0" w:color="auto"/>
        <w:right w:val="none" w:sz="0" w:space="0" w:color="auto"/>
      </w:divBdr>
    </w:div>
    <w:div w:id="632905182">
      <w:bodyDiv w:val="1"/>
      <w:marLeft w:val="0"/>
      <w:marRight w:val="0"/>
      <w:marTop w:val="0"/>
      <w:marBottom w:val="0"/>
      <w:divBdr>
        <w:top w:val="none" w:sz="0" w:space="0" w:color="auto"/>
        <w:left w:val="none" w:sz="0" w:space="0" w:color="auto"/>
        <w:bottom w:val="none" w:sz="0" w:space="0" w:color="auto"/>
        <w:right w:val="none" w:sz="0" w:space="0" w:color="auto"/>
      </w:divBdr>
    </w:div>
    <w:div w:id="637106253">
      <w:bodyDiv w:val="1"/>
      <w:marLeft w:val="0"/>
      <w:marRight w:val="0"/>
      <w:marTop w:val="0"/>
      <w:marBottom w:val="0"/>
      <w:divBdr>
        <w:top w:val="none" w:sz="0" w:space="0" w:color="auto"/>
        <w:left w:val="none" w:sz="0" w:space="0" w:color="auto"/>
        <w:bottom w:val="none" w:sz="0" w:space="0" w:color="auto"/>
        <w:right w:val="none" w:sz="0" w:space="0" w:color="auto"/>
      </w:divBdr>
    </w:div>
    <w:div w:id="657073924">
      <w:bodyDiv w:val="1"/>
      <w:marLeft w:val="0"/>
      <w:marRight w:val="0"/>
      <w:marTop w:val="0"/>
      <w:marBottom w:val="0"/>
      <w:divBdr>
        <w:top w:val="none" w:sz="0" w:space="0" w:color="auto"/>
        <w:left w:val="none" w:sz="0" w:space="0" w:color="auto"/>
        <w:bottom w:val="none" w:sz="0" w:space="0" w:color="auto"/>
        <w:right w:val="none" w:sz="0" w:space="0" w:color="auto"/>
      </w:divBdr>
    </w:div>
    <w:div w:id="657534260">
      <w:bodyDiv w:val="1"/>
      <w:marLeft w:val="0"/>
      <w:marRight w:val="0"/>
      <w:marTop w:val="0"/>
      <w:marBottom w:val="0"/>
      <w:divBdr>
        <w:top w:val="none" w:sz="0" w:space="0" w:color="auto"/>
        <w:left w:val="none" w:sz="0" w:space="0" w:color="auto"/>
        <w:bottom w:val="none" w:sz="0" w:space="0" w:color="auto"/>
        <w:right w:val="none" w:sz="0" w:space="0" w:color="auto"/>
      </w:divBdr>
    </w:div>
    <w:div w:id="685444340">
      <w:bodyDiv w:val="1"/>
      <w:marLeft w:val="0"/>
      <w:marRight w:val="0"/>
      <w:marTop w:val="0"/>
      <w:marBottom w:val="0"/>
      <w:divBdr>
        <w:top w:val="none" w:sz="0" w:space="0" w:color="auto"/>
        <w:left w:val="none" w:sz="0" w:space="0" w:color="auto"/>
        <w:bottom w:val="none" w:sz="0" w:space="0" w:color="auto"/>
        <w:right w:val="none" w:sz="0" w:space="0" w:color="auto"/>
      </w:divBdr>
    </w:div>
    <w:div w:id="724908678">
      <w:bodyDiv w:val="1"/>
      <w:marLeft w:val="0"/>
      <w:marRight w:val="0"/>
      <w:marTop w:val="0"/>
      <w:marBottom w:val="0"/>
      <w:divBdr>
        <w:top w:val="none" w:sz="0" w:space="0" w:color="auto"/>
        <w:left w:val="none" w:sz="0" w:space="0" w:color="auto"/>
        <w:bottom w:val="none" w:sz="0" w:space="0" w:color="auto"/>
        <w:right w:val="none" w:sz="0" w:space="0" w:color="auto"/>
      </w:divBdr>
    </w:div>
    <w:div w:id="779028938">
      <w:bodyDiv w:val="1"/>
      <w:marLeft w:val="0"/>
      <w:marRight w:val="0"/>
      <w:marTop w:val="0"/>
      <w:marBottom w:val="0"/>
      <w:divBdr>
        <w:top w:val="none" w:sz="0" w:space="0" w:color="auto"/>
        <w:left w:val="none" w:sz="0" w:space="0" w:color="auto"/>
        <w:bottom w:val="none" w:sz="0" w:space="0" w:color="auto"/>
        <w:right w:val="none" w:sz="0" w:space="0" w:color="auto"/>
      </w:divBdr>
    </w:div>
    <w:div w:id="802039774">
      <w:bodyDiv w:val="1"/>
      <w:marLeft w:val="0"/>
      <w:marRight w:val="0"/>
      <w:marTop w:val="0"/>
      <w:marBottom w:val="0"/>
      <w:divBdr>
        <w:top w:val="none" w:sz="0" w:space="0" w:color="auto"/>
        <w:left w:val="none" w:sz="0" w:space="0" w:color="auto"/>
        <w:bottom w:val="none" w:sz="0" w:space="0" w:color="auto"/>
        <w:right w:val="none" w:sz="0" w:space="0" w:color="auto"/>
      </w:divBdr>
    </w:div>
    <w:div w:id="818306804">
      <w:bodyDiv w:val="1"/>
      <w:marLeft w:val="0"/>
      <w:marRight w:val="0"/>
      <w:marTop w:val="0"/>
      <w:marBottom w:val="0"/>
      <w:divBdr>
        <w:top w:val="none" w:sz="0" w:space="0" w:color="auto"/>
        <w:left w:val="none" w:sz="0" w:space="0" w:color="auto"/>
        <w:bottom w:val="none" w:sz="0" w:space="0" w:color="auto"/>
        <w:right w:val="none" w:sz="0" w:space="0" w:color="auto"/>
      </w:divBdr>
    </w:div>
    <w:div w:id="833683967">
      <w:bodyDiv w:val="1"/>
      <w:marLeft w:val="0"/>
      <w:marRight w:val="0"/>
      <w:marTop w:val="0"/>
      <w:marBottom w:val="0"/>
      <w:divBdr>
        <w:top w:val="none" w:sz="0" w:space="0" w:color="auto"/>
        <w:left w:val="none" w:sz="0" w:space="0" w:color="auto"/>
        <w:bottom w:val="none" w:sz="0" w:space="0" w:color="auto"/>
        <w:right w:val="none" w:sz="0" w:space="0" w:color="auto"/>
      </w:divBdr>
    </w:div>
    <w:div w:id="847716901">
      <w:bodyDiv w:val="1"/>
      <w:marLeft w:val="0"/>
      <w:marRight w:val="0"/>
      <w:marTop w:val="0"/>
      <w:marBottom w:val="0"/>
      <w:divBdr>
        <w:top w:val="none" w:sz="0" w:space="0" w:color="auto"/>
        <w:left w:val="none" w:sz="0" w:space="0" w:color="auto"/>
        <w:bottom w:val="none" w:sz="0" w:space="0" w:color="auto"/>
        <w:right w:val="none" w:sz="0" w:space="0" w:color="auto"/>
      </w:divBdr>
    </w:div>
    <w:div w:id="848301143">
      <w:bodyDiv w:val="1"/>
      <w:marLeft w:val="0"/>
      <w:marRight w:val="0"/>
      <w:marTop w:val="0"/>
      <w:marBottom w:val="0"/>
      <w:divBdr>
        <w:top w:val="none" w:sz="0" w:space="0" w:color="auto"/>
        <w:left w:val="none" w:sz="0" w:space="0" w:color="auto"/>
        <w:bottom w:val="none" w:sz="0" w:space="0" w:color="auto"/>
        <w:right w:val="none" w:sz="0" w:space="0" w:color="auto"/>
      </w:divBdr>
    </w:div>
    <w:div w:id="869149318">
      <w:bodyDiv w:val="1"/>
      <w:marLeft w:val="0"/>
      <w:marRight w:val="0"/>
      <w:marTop w:val="0"/>
      <w:marBottom w:val="0"/>
      <w:divBdr>
        <w:top w:val="none" w:sz="0" w:space="0" w:color="auto"/>
        <w:left w:val="none" w:sz="0" w:space="0" w:color="auto"/>
        <w:bottom w:val="none" w:sz="0" w:space="0" w:color="auto"/>
        <w:right w:val="none" w:sz="0" w:space="0" w:color="auto"/>
      </w:divBdr>
    </w:div>
    <w:div w:id="876117198">
      <w:bodyDiv w:val="1"/>
      <w:marLeft w:val="0"/>
      <w:marRight w:val="0"/>
      <w:marTop w:val="0"/>
      <w:marBottom w:val="0"/>
      <w:divBdr>
        <w:top w:val="none" w:sz="0" w:space="0" w:color="auto"/>
        <w:left w:val="none" w:sz="0" w:space="0" w:color="auto"/>
        <w:bottom w:val="none" w:sz="0" w:space="0" w:color="auto"/>
        <w:right w:val="none" w:sz="0" w:space="0" w:color="auto"/>
      </w:divBdr>
    </w:div>
    <w:div w:id="918710749">
      <w:bodyDiv w:val="1"/>
      <w:marLeft w:val="0"/>
      <w:marRight w:val="0"/>
      <w:marTop w:val="0"/>
      <w:marBottom w:val="0"/>
      <w:divBdr>
        <w:top w:val="none" w:sz="0" w:space="0" w:color="auto"/>
        <w:left w:val="none" w:sz="0" w:space="0" w:color="auto"/>
        <w:bottom w:val="none" w:sz="0" w:space="0" w:color="auto"/>
        <w:right w:val="none" w:sz="0" w:space="0" w:color="auto"/>
      </w:divBdr>
    </w:div>
    <w:div w:id="956066605">
      <w:bodyDiv w:val="1"/>
      <w:marLeft w:val="0"/>
      <w:marRight w:val="0"/>
      <w:marTop w:val="0"/>
      <w:marBottom w:val="0"/>
      <w:divBdr>
        <w:top w:val="none" w:sz="0" w:space="0" w:color="auto"/>
        <w:left w:val="none" w:sz="0" w:space="0" w:color="auto"/>
        <w:bottom w:val="none" w:sz="0" w:space="0" w:color="auto"/>
        <w:right w:val="none" w:sz="0" w:space="0" w:color="auto"/>
      </w:divBdr>
    </w:div>
    <w:div w:id="970668414">
      <w:bodyDiv w:val="1"/>
      <w:marLeft w:val="0"/>
      <w:marRight w:val="0"/>
      <w:marTop w:val="0"/>
      <w:marBottom w:val="0"/>
      <w:divBdr>
        <w:top w:val="none" w:sz="0" w:space="0" w:color="auto"/>
        <w:left w:val="none" w:sz="0" w:space="0" w:color="auto"/>
        <w:bottom w:val="none" w:sz="0" w:space="0" w:color="auto"/>
        <w:right w:val="none" w:sz="0" w:space="0" w:color="auto"/>
      </w:divBdr>
    </w:div>
    <w:div w:id="970982729">
      <w:bodyDiv w:val="1"/>
      <w:marLeft w:val="0"/>
      <w:marRight w:val="0"/>
      <w:marTop w:val="0"/>
      <w:marBottom w:val="0"/>
      <w:divBdr>
        <w:top w:val="none" w:sz="0" w:space="0" w:color="auto"/>
        <w:left w:val="none" w:sz="0" w:space="0" w:color="auto"/>
        <w:bottom w:val="none" w:sz="0" w:space="0" w:color="auto"/>
        <w:right w:val="none" w:sz="0" w:space="0" w:color="auto"/>
      </w:divBdr>
    </w:div>
    <w:div w:id="975910872">
      <w:bodyDiv w:val="1"/>
      <w:marLeft w:val="0"/>
      <w:marRight w:val="0"/>
      <w:marTop w:val="0"/>
      <w:marBottom w:val="0"/>
      <w:divBdr>
        <w:top w:val="none" w:sz="0" w:space="0" w:color="auto"/>
        <w:left w:val="none" w:sz="0" w:space="0" w:color="auto"/>
        <w:bottom w:val="none" w:sz="0" w:space="0" w:color="auto"/>
        <w:right w:val="none" w:sz="0" w:space="0" w:color="auto"/>
      </w:divBdr>
    </w:div>
    <w:div w:id="988750845">
      <w:bodyDiv w:val="1"/>
      <w:marLeft w:val="0"/>
      <w:marRight w:val="0"/>
      <w:marTop w:val="0"/>
      <w:marBottom w:val="0"/>
      <w:divBdr>
        <w:top w:val="none" w:sz="0" w:space="0" w:color="auto"/>
        <w:left w:val="none" w:sz="0" w:space="0" w:color="auto"/>
        <w:bottom w:val="none" w:sz="0" w:space="0" w:color="auto"/>
        <w:right w:val="none" w:sz="0" w:space="0" w:color="auto"/>
      </w:divBdr>
    </w:div>
    <w:div w:id="1012269610">
      <w:bodyDiv w:val="1"/>
      <w:marLeft w:val="0"/>
      <w:marRight w:val="0"/>
      <w:marTop w:val="0"/>
      <w:marBottom w:val="0"/>
      <w:divBdr>
        <w:top w:val="none" w:sz="0" w:space="0" w:color="auto"/>
        <w:left w:val="none" w:sz="0" w:space="0" w:color="auto"/>
        <w:bottom w:val="none" w:sz="0" w:space="0" w:color="auto"/>
        <w:right w:val="none" w:sz="0" w:space="0" w:color="auto"/>
      </w:divBdr>
    </w:div>
    <w:div w:id="1025180894">
      <w:bodyDiv w:val="1"/>
      <w:marLeft w:val="0"/>
      <w:marRight w:val="0"/>
      <w:marTop w:val="0"/>
      <w:marBottom w:val="0"/>
      <w:divBdr>
        <w:top w:val="none" w:sz="0" w:space="0" w:color="auto"/>
        <w:left w:val="none" w:sz="0" w:space="0" w:color="auto"/>
        <w:bottom w:val="none" w:sz="0" w:space="0" w:color="auto"/>
        <w:right w:val="none" w:sz="0" w:space="0" w:color="auto"/>
      </w:divBdr>
    </w:div>
    <w:div w:id="1043215892">
      <w:bodyDiv w:val="1"/>
      <w:marLeft w:val="0"/>
      <w:marRight w:val="0"/>
      <w:marTop w:val="0"/>
      <w:marBottom w:val="0"/>
      <w:divBdr>
        <w:top w:val="none" w:sz="0" w:space="0" w:color="auto"/>
        <w:left w:val="none" w:sz="0" w:space="0" w:color="auto"/>
        <w:bottom w:val="none" w:sz="0" w:space="0" w:color="auto"/>
        <w:right w:val="none" w:sz="0" w:space="0" w:color="auto"/>
      </w:divBdr>
    </w:div>
    <w:div w:id="1063453497">
      <w:bodyDiv w:val="1"/>
      <w:marLeft w:val="0"/>
      <w:marRight w:val="0"/>
      <w:marTop w:val="0"/>
      <w:marBottom w:val="0"/>
      <w:divBdr>
        <w:top w:val="none" w:sz="0" w:space="0" w:color="auto"/>
        <w:left w:val="none" w:sz="0" w:space="0" w:color="auto"/>
        <w:bottom w:val="none" w:sz="0" w:space="0" w:color="auto"/>
        <w:right w:val="none" w:sz="0" w:space="0" w:color="auto"/>
      </w:divBdr>
    </w:div>
    <w:div w:id="1142382130">
      <w:bodyDiv w:val="1"/>
      <w:marLeft w:val="0"/>
      <w:marRight w:val="0"/>
      <w:marTop w:val="0"/>
      <w:marBottom w:val="0"/>
      <w:divBdr>
        <w:top w:val="none" w:sz="0" w:space="0" w:color="auto"/>
        <w:left w:val="none" w:sz="0" w:space="0" w:color="auto"/>
        <w:bottom w:val="none" w:sz="0" w:space="0" w:color="auto"/>
        <w:right w:val="none" w:sz="0" w:space="0" w:color="auto"/>
      </w:divBdr>
    </w:div>
    <w:div w:id="1177499900">
      <w:bodyDiv w:val="1"/>
      <w:marLeft w:val="0"/>
      <w:marRight w:val="0"/>
      <w:marTop w:val="0"/>
      <w:marBottom w:val="0"/>
      <w:divBdr>
        <w:top w:val="none" w:sz="0" w:space="0" w:color="auto"/>
        <w:left w:val="none" w:sz="0" w:space="0" w:color="auto"/>
        <w:bottom w:val="none" w:sz="0" w:space="0" w:color="auto"/>
        <w:right w:val="none" w:sz="0" w:space="0" w:color="auto"/>
      </w:divBdr>
    </w:div>
    <w:div w:id="1181091969">
      <w:bodyDiv w:val="1"/>
      <w:marLeft w:val="0"/>
      <w:marRight w:val="0"/>
      <w:marTop w:val="0"/>
      <w:marBottom w:val="0"/>
      <w:divBdr>
        <w:top w:val="none" w:sz="0" w:space="0" w:color="auto"/>
        <w:left w:val="none" w:sz="0" w:space="0" w:color="auto"/>
        <w:bottom w:val="none" w:sz="0" w:space="0" w:color="auto"/>
        <w:right w:val="none" w:sz="0" w:space="0" w:color="auto"/>
      </w:divBdr>
    </w:div>
    <w:div w:id="1211040881">
      <w:bodyDiv w:val="1"/>
      <w:marLeft w:val="0"/>
      <w:marRight w:val="0"/>
      <w:marTop w:val="0"/>
      <w:marBottom w:val="0"/>
      <w:divBdr>
        <w:top w:val="none" w:sz="0" w:space="0" w:color="auto"/>
        <w:left w:val="none" w:sz="0" w:space="0" w:color="auto"/>
        <w:bottom w:val="none" w:sz="0" w:space="0" w:color="auto"/>
        <w:right w:val="none" w:sz="0" w:space="0" w:color="auto"/>
      </w:divBdr>
    </w:div>
    <w:div w:id="1213276183">
      <w:bodyDiv w:val="1"/>
      <w:marLeft w:val="0"/>
      <w:marRight w:val="0"/>
      <w:marTop w:val="0"/>
      <w:marBottom w:val="0"/>
      <w:divBdr>
        <w:top w:val="none" w:sz="0" w:space="0" w:color="auto"/>
        <w:left w:val="none" w:sz="0" w:space="0" w:color="auto"/>
        <w:bottom w:val="none" w:sz="0" w:space="0" w:color="auto"/>
        <w:right w:val="none" w:sz="0" w:space="0" w:color="auto"/>
      </w:divBdr>
    </w:div>
    <w:div w:id="1214732764">
      <w:bodyDiv w:val="1"/>
      <w:marLeft w:val="0"/>
      <w:marRight w:val="0"/>
      <w:marTop w:val="0"/>
      <w:marBottom w:val="0"/>
      <w:divBdr>
        <w:top w:val="none" w:sz="0" w:space="0" w:color="auto"/>
        <w:left w:val="none" w:sz="0" w:space="0" w:color="auto"/>
        <w:bottom w:val="none" w:sz="0" w:space="0" w:color="auto"/>
        <w:right w:val="none" w:sz="0" w:space="0" w:color="auto"/>
      </w:divBdr>
    </w:div>
    <w:div w:id="1228415442">
      <w:bodyDiv w:val="1"/>
      <w:marLeft w:val="0"/>
      <w:marRight w:val="0"/>
      <w:marTop w:val="0"/>
      <w:marBottom w:val="0"/>
      <w:divBdr>
        <w:top w:val="none" w:sz="0" w:space="0" w:color="auto"/>
        <w:left w:val="none" w:sz="0" w:space="0" w:color="auto"/>
        <w:bottom w:val="none" w:sz="0" w:space="0" w:color="auto"/>
        <w:right w:val="none" w:sz="0" w:space="0" w:color="auto"/>
      </w:divBdr>
    </w:div>
    <w:div w:id="1268389070">
      <w:bodyDiv w:val="1"/>
      <w:marLeft w:val="0"/>
      <w:marRight w:val="0"/>
      <w:marTop w:val="0"/>
      <w:marBottom w:val="0"/>
      <w:divBdr>
        <w:top w:val="none" w:sz="0" w:space="0" w:color="auto"/>
        <w:left w:val="none" w:sz="0" w:space="0" w:color="auto"/>
        <w:bottom w:val="none" w:sz="0" w:space="0" w:color="auto"/>
        <w:right w:val="none" w:sz="0" w:space="0" w:color="auto"/>
      </w:divBdr>
    </w:div>
    <w:div w:id="1284580465">
      <w:bodyDiv w:val="1"/>
      <w:marLeft w:val="0"/>
      <w:marRight w:val="0"/>
      <w:marTop w:val="0"/>
      <w:marBottom w:val="0"/>
      <w:divBdr>
        <w:top w:val="none" w:sz="0" w:space="0" w:color="auto"/>
        <w:left w:val="none" w:sz="0" w:space="0" w:color="auto"/>
        <w:bottom w:val="none" w:sz="0" w:space="0" w:color="auto"/>
        <w:right w:val="none" w:sz="0" w:space="0" w:color="auto"/>
      </w:divBdr>
    </w:div>
    <w:div w:id="1287732063">
      <w:bodyDiv w:val="1"/>
      <w:marLeft w:val="0"/>
      <w:marRight w:val="0"/>
      <w:marTop w:val="0"/>
      <w:marBottom w:val="0"/>
      <w:divBdr>
        <w:top w:val="none" w:sz="0" w:space="0" w:color="auto"/>
        <w:left w:val="none" w:sz="0" w:space="0" w:color="auto"/>
        <w:bottom w:val="none" w:sz="0" w:space="0" w:color="auto"/>
        <w:right w:val="none" w:sz="0" w:space="0" w:color="auto"/>
      </w:divBdr>
    </w:div>
    <w:div w:id="1295409653">
      <w:bodyDiv w:val="1"/>
      <w:marLeft w:val="0"/>
      <w:marRight w:val="0"/>
      <w:marTop w:val="0"/>
      <w:marBottom w:val="0"/>
      <w:divBdr>
        <w:top w:val="none" w:sz="0" w:space="0" w:color="auto"/>
        <w:left w:val="none" w:sz="0" w:space="0" w:color="auto"/>
        <w:bottom w:val="none" w:sz="0" w:space="0" w:color="auto"/>
        <w:right w:val="none" w:sz="0" w:space="0" w:color="auto"/>
      </w:divBdr>
    </w:div>
    <w:div w:id="1329868890">
      <w:bodyDiv w:val="1"/>
      <w:marLeft w:val="0"/>
      <w:marRight w:val="0"/>
      <w:marTop w:val="0"/>
      <w:marBottom w:val="0"/>
      <w:divBdr>
        <w:top w:val="none" w:sz="0" w:space="0" w:color="auto"/>
        <w:left w:val="none" w:sz="0" w:space="0" w:color="auto"/>
        <w:bottom w:val="none" w:sz="0" w:space="0" w:color="auto"/>
        <w:right w:val="none" w:sz="0" w:space="0" w:color="auto"/>
      </w:divBdr>
    </w:div>
    <w:div w:id="1338078793">
      <w:bodyDiv w:val="1"/>
      <w:marLeft w:val="0"/>
      <w:marRight w:val="0"/>
      <w:marTop w:val="0"/>
      <w:marBottom w:val="0"/>
      <w:divBdr>
        <w:top w:val="none" w:sz="0" w:space="0" w:color="auto"/>
        <w:left w:val="none" w:sz="0" w:space="0" w:color="auto"/>
        <w:bottom w:val="none" w:sz="0" w:space="0" w:color="auto"/>
        <w:right w:val="none" w:sz="0" w:space="0" w:color="auto"/>
      </w:divBdr>
    </w:div>
    <w:div w:id="1349059967">
      <w:bodyDiv w:val="1"/>
      <w:marLeft w:val="0"/>
      <w:marRight w:val="0"/>
      <w:marTop w:val="0"/>
      <w:marBottom w:val="0"/>
      <w:divBdr>
        <w:top w:val="none" w:sz="0" w:space="0" w:color="auto"/>
        <w:left w:val="none" w:sz="0" w:space="0" w:color="auto"/>
        <w:bottom w:val="none" w:sz="0" w:space="0" w:color="auto"/>
        <w:right w:val="none" w:sz="0" w:space="0" w:color="auto"/>
      </w:divBdr>
    </w:div>
    <w:div w:id="1377656059">
      <w:bodyDiv w:val="1"/>
      <w:marLeft w:val="0"/>
      <w:marRight w:val="0"/>
      <w:marTop w:val="0"/>
      <w:marBottom w:val="0"/>
      <w:divBdr>
        <w:top w:val="none" w:sz="0" w:space="0" w:color="auto"/>
        <w:left w:val="none" w:sz="0" w:space="0" w:color="auto"/>
        <w:bottom w:val="none" w:sz="0" w:space="0" w:color="auto"/>
        <w:right w:val="none" w:sz="0" w:space="0" w:color="auto"/>
      </w:divBdr>
    </w:div>
    <w:div w:id="1378354039">
      <w:bodyDiv w:val="1"/>
      <w:marLeft w:val="0"/>
      <w:marRight w:val="0"/>
      <w:marTop w:val="0"/>
      <w:marBottom w:val="0"/>
      <w:divBdr>
        <w:top w:val="none" w:sz="0" w:space="0" w:color="auto"/>
        <w:left w:val="none" w:sz="0" w:space="0" w:color="auto"/>
        <w:bottom w:val="none" w:sz="0" w:space="0" w:color="auto"/>
        <w:right w:val="none" w:sz="0" w:space="0" w:color="auto"/>
      </w:divBdr>
    </w:div>
    <w:div w:id="1383671850">
      <w:bodyDiv w:val="1"/>
      <w:marLeft w:val="0"/>
      <w:marRight w:val="0"/>
      <w:marTop w:val="0"/>
      <w:marBottom w:val="0"/>
      <w:divBdr>
        <w:top w:val="none" w:sz="0" w:space="0" w:color="auto"/>
        <w:left w:val="none" w:sz="0" w:space="0" w:color="auto"/>
        <w:bottom w:val="none" w:sz="0" w:space="0" w:color="auto"/>
        <w:right w:val="none" w:sz="0" w:space="0" w:color="auto"/>
      </w:divBdr>
    </w:div>
    <w:div w:id="1420370629">
      <w:bodyDiv w:val="1"/>
      <w:marLeft w:val="0"/>
      <w:marRight w:val="0"/>
      <w:marTop w:val="0"/>
      <w:marBottom w:val="0"/>
      <w:divBdr>
        <w:top w:val="none" w:sz="0" w:space="0" w:color="auto"/>
        <w:left w:val="none" w:sz="0" w:space="0" w:color="auto"/>
        <w:bottom w:val="none" w:sz="0" w:space="0" w:color="auto"/>
        <w:right w:val="none" w:sz="0" w:space="0" w:color="auto"/>
      </w:divBdr>
    </w:div>
    <w:div w:id="1460419550">
      <w:bodyDiv w:val="1"/>
      <w:marLeft w:val="0"/>
      <w:marRight w:val="0"/>
      <w:marTop w:val="0"/>
      <w:marBottom w:val="0"/>
      <w:divBdr>
        <w:top w:val="none" w:sz="0" w:space="0" w:color="auto"/>
        <w:left w:val="none" w:sz="0" w:space="0" w:color="auto"/>
        <w:bottom w:val="none" w:sz="0" w:space="0" w:color="auto"/>
        <w:right w:val="none" w:sz="0" w:space="0" w:color="auto"/>
      </w:divBdr>
    </w:div>
    <w:div w:id="1478765023">
      <w:bodyDiv w:val="1"/>
      <w:marLeft w:val="0"/>
      <w:marRight w:val="0"/>
      <w:marTop w:val="0"/>
      <w:marBottom w:val="0"/>
      <w:divBdr>
        <w:top w:val="none" w:sz="0" w:space="0" w:color="auto"/>
        <w:left w:val="none" w:sz="0" w:space="0" w:color="auto"/>
        <w:bottom w:val="none" w:sz="0" w:space="0" w:color="auto"/>
        <w:right w:val="none" w:sz="0" w:space="0" w:color="auto"/>
      </w:divBdr>
    </w:div>
    <w:div w:id="1514569552">
      <w:bodyDiv w:val="1"/>
      <w:marLeft w:val="0"/>
      <w:marRight w:val="0"/>
      <w:marTop w:val="0"/>
      <w:marBottom w:val="0"/>
      <w:divBdr>
        <w:top w:val="none" w:sz="0" w:space="0" w:color="auto"/>
        <w:left w:val="none" w:sz="0" w:space="0" w:color="auto"/>
        <w:bottom w:val="none" w:sz="0" w:space="0" w:color="auto"/>
        <w:right w:val="none" w:sz="0" w:space="0" w:color="auto"/>
      </w:divBdr>
    </w:div>
    <w:div w:id="1517574351">
      <w:bodyDiv w:val="1"/>
      <w:marLeft w:val="0"/>
      <w:marRight w:val="0"/>
      <w:marTop w:val="0"/>
      <w:marBottom w:val="0"/>
      <w:divBdr>
        <w:top w:val="none" w:sz="0" w:space="0" w:color="auto"/>
        <w:left w:val="none" w:sz="0" w:space="0" w:color="auto"/>
        <w:bottom w:val="none" w:sz="0" w:space="0" w:color="auto"/>
        <w:right w:val="none" w:sz="0" w:space="0" w:color="auto"/>
      </w:divBdr>
    </w:div>
    <w:div w:id="1520969758">
      <w:bodyDiv w:val="1"/>
      <w:marLeft w:val="0"/>
      <w:marRight w:val="0"/>
      <w:marTop w:val="0"/>
      <w:marBottom w:val="0"/>
      <w:divBdr>
        <w:top w:val="none" w:sz="0" w:space="0" w:color="auto"/>
        <w:left w:val="none" w:sz="0" w:space="0" w:color="auto"/>
        <w:bottom w:val="none" w:sz="0" w:space="0" w:color="auto"/>
        <w:right w:val="none" w:sz="0" w:space="0" w:color="auto"/>
      </w:divBdr>
    </w:div>
    <w:div w:id="1523978280">
      <w:bodyDiv w:val="1"/>
      <w:marLeft w:val="0"/>
      <w:marRight w:val="0"/>
      <w:marTop w:val="0"/>
      <w:marBottom w:val="0"/>
      <w:divBdr>
        <w:top w:val="none" w:sz="0" w:space="0" w:color="auto"/>
        <w:left w:val="none" w:sz="0" w:space="0" w:color="auto"/>
        <w:bottom w:val="none" w:sz="0" w:space="0" w:color="auto"/>
        <w:right w:val="none" w:sz="0" w:space="0" w:color="auto"/>
      </w:divBdr>
    </w:div>
    <w:div w:id="1530680326">
      <w:bodyDiv w:val="1"/>
      <w:marLeft w:val="0"/>
      <w:marRight w:val="0"/>
      <w:marTop w:val="0"/>
      <w:marBottom w:val="0"/>
      <w:divBdr>
        <w:top w:val="none" w:sz="0" w:space="0" w:color="auto"/>
        <w:left w:val="none" w:sz="0" w:space="0" w:color="auto"/>
        <w:bottom w:val="none" w:sz="0" w:space="0" w:color="auto"/>
        <w:right w:val="none" w:sz="0" w:space="0" w:color="auto"/>
      </w:divBdr>
    </w:div>
    <w:div w:id="1541823210">
      <w:bodyDiv w:val="1"/>
      <w:marLeft w:val="0"/>
      <w:marRight w:val="0"/>
      <w:marTop w:val="0"/>
      <w:marBottom w:val="0"/>
      <w:divBdr>
        <w:top w:val="none" w:sz="0" w:space="0" w:color="auto"/>
        <w:left w:val="none" w:sz="0" w:space="0" w:color="auto"/>
        <w:bottom w:val="none" w:sz="0" w:space="0" w:color="auto"/>
        <w:right w:val="none" w:sz="0" w:space="0" w:color="auto"/>
      </w:divBdr>
    </w:div>
    <w:div w:id="1542209301">
      <w:bodyDiv w:val="1"/>
      <w:marLeft w:val="0"/>
      <w:marRight w:val="0"/>
      <w:marTop w:val="0"/>
      <w:marBottom w:val="0"/>
      <w:divBdr>
        <w:top w:val="none" w:sz="0" w:space="0" w:color="auto"/>
        <w:left w:val="none" w:sz="0" w:space="0" w:color="auto"/>
        <w:bottom w:val="none" w:sz="0" w:space="0" w:color="auto"/>
        <w:right w:val="none" w:sz="0" w:space="0" w:color="auto"/>
      </w:divBdr>
    </w:div>
    <w:div w:id="1546137516">
      <w:bodyDiv w:val="1"/>
      <w:marLeft w:val="0"/>
      <w:marRight w:val="0"/>
      <w:marTop w:val="0"/>
      <w:marBottom w:val="0"/>
      <w:divBdr>
        <w:top w:val="none" w:sz="0" w:space="0" w:color="auto"/>
        <w:left w:val="none" w:sz="0" w:space="0" w:color="auto"/>
        <w:bottom w:val="none" w:sz="0" w:space="0" w:color="auto"/>
        <w:right w:val="none" w:sz="0" w:space="0" w:color="auto"/>
      </w:divBdr>
    </w:div>
    <w:div w:id="1556966603">
      <w:bodyDiv w:val="1"/>
      <w:marLeft w:val="0"/>
      <w:marRight w:val="0"/>
      <w:marTop w:val="0"/>
      <w:marBottom w:val="0"/>
      <w:divBdr>
        <w:top w:val="none" w:sz="0" w:space="0" w:color="auto"/>
        <w:left w:val="none" w:sz="0" w:space="0" w:color="auto"/>
        <w:bottom w:val="none" w:sz="0" w:space="0" w:color="auto"/>
        <w:right w:val="none" w:sz="0" w:space="0" w:color="auto"/>
      </w:divBdr>
    </w:div>
    <w:div w:id="1576742653">
      <w:bodyDiv w:val="1"/>
      <w:marLeft w:val="0"/>
      <w:marRight w:val="0"/>
      <w:marTop w:val="0"/>
      <w:marBottom w:val="0"/>
      <w:divBdr>
        <w:top w:val="none" w:sz="0" w:space="0" w:color="auto"/>
        <w:left w:val="none" w:sz="0" w:space="0" w:color="auto"/>
        <w:bottom w:val="none" w:sz="0" w:space="0" w:color="auto"/>
        <w:right w:val="none" w:sz="0" w:space="0" w:color="auto"/>
      </w:divBdr>
    </w:div>
    <w:div w:id="1586111316">
      <w:bodyDiv w:val="1"/>
      <w:marLeft w:val="0"/>
      <w:marRight w:val="0"/>
      <w:marTop w:val="0"/>
      <w:marBottom w:val="0"/>
      <w:divBdr>
        <w:top w:val="none" w:sz="0" w:space="0" w:color="auto"/>
        <w:left w:val="none" w:sz="0" w:space="0" w:color="auto"/>
        <w:bottom w:val="none" w:sz="0" w:space="0" w:color="auto"/>
        <w:right w:val="none" w:sz="0" w:space="0" w:color="auto"/>
      </w:divBdr>
    </w:div>
    <w:div w:id="1586840066">
      <w:bodyDiv w:val="1"/>
      <w:marLeft w:val="0"/>
      <w:marRight w:val="0"/>
      <w:marTop w:val="0"/>
      <w:marBottom w:val="0"/>
      <w:divBdr>
        <w:top w:val="none" w:sz="0" w:space="0" w:color="auto"/>
        <w:left w:val="none" w:sz="0" w:space="0" w:color="auto"/>
        <w:bottom w:val="none" w:sz="0" w:space="0" w:color="auto"/>
        <w:right w:val="none" w:sz="0" w:space="0" w:color="auto"/>
      </w:divBdr>
    </w:div>
    <w:div w:id="1590694796">
      <w:bodyDiv w:val="1"/>
      <w:marLeft w:val="0"/>
      <w:marRight w:val="0"/>
      <w:marTop w:val="0"/>
      <w:marBottom w:val="0"/>
      <w:divBdr>
        <w:top w:val="none" w:sz="0" w:space="0" w:color="auto"/>
        <w:left w:val="none" w:sz="0" w:space="0" w:color="auto"/>
        <w:bottom w:val="none" w:sz="0" w:space="0" w:color="auto"/>
        <w:right w:val="none" w:sz="0" w:space="0" w:color="auto"/>
      </w:divBdr>
    </w:div>
    <w:div w:id="1606110479">
      <w:bodyDiv w:val="1"/>
      <w:marLeft w:val="0"/>
      <w:marRight w:val="0"/>
      <w:marTop w:val="0"/>
      <w:marBottom w:val="0"/>
      <w:divBdr>
        <w:top w:val="none" w:sz="0" w:space="0" w:color="auto"/>
        <w:left w:val="none" w:sz="0" w:space="0" w:color="auto"/>
        <w:bottom w:val="none" w:sz="0" w:space="0" w:color="auto"/>
        <w:right w:val="none" w:sz="0" w:space="0" w:color="auto"/>
      </w:divBdr>
    </w:div>
    <w:div w:id="1641569666">
      <w:bodyDiv w:val="1"/>
      <w:marLeft w:val="0"/>
      <w:marRight w:val="0"/>
      <w:marTop w:val="0"/>
      <w:marBottom w:val="0"/>
      <w:divBdr>
        <w:top w:val="none" w:sz="0" w:space="0" w:color="auto"/>
        <w:left w:val="none" w:sz="0" w:space="0" w:color="auto"/>
        <w:bottom w:val="none" w:sz="0" w:space="0" w:color="auto"/>
        <w:right w:val="none" w:sz="0" w:space="0" w:color="auto"/>
      </w:divBdr>
    </w:div>
    <w:div w:id="1651245614">
      <w:bodyDiv w:val="1"/>
      <w:marLeft w:val="0"/>
      <w:marRight w:val="0"/>
      <w:marTop w:val="0"/>
      <w:marBottom w:val="0"/>
      <w:divBdr>
        <w:top w:val="none" w:sz="0" w:space="0" w:color="auto"/>
        <w:left w:val="none" w:sz="0" w:space="0" w:color="auto"/>
        <w:bottom w:val="none" w:sz="0" w:space="0" w:color="auto"/>
        <w:right w:val="none" w:sz="0" w:space="0" w:color="auto"/>
      </w:divBdr>
    </w:div>
    <w:div w:id="1682128146">
      <w:bodyDiv w:val="1"/>
      <w:marLeft w:val="0"/>
      <w:marRight w:val="0"/>
      <w:marTop w:val="0"/>
      <w:marBottom w:val="0"/>
      <w:divBdr>
        <w:top w:val="none" w:sz="0" w:space="0" w:color="auto"/>
        <w:left w:val="none" w:sz="0" w:space="0" w:color="auto"/>
        <w:bottom w:val="none" w:sz="0" w:space="0" w:color="auto"/>
        <w:right w:val="none" w:sz="0" w:space="0" w:color="auto"/>
      </w:divBdr>
    </w:div>
    <w:div w:id="1687436382">
      <w:bodyDiv w:val="1"/>
      <w:marLeft w:val="0"/>
      <w:marRight w:val="0"/>
      <w:marTop w:val="0"/>
      <w:marBottom w:val="0"/>
      <w:divBdr>
        <w:top w:val="none" w:sz="0" w:space="0" w:color="auto"/>
        <w:left w:val="none" w:sz="0" w:space="0" w:color="auto"/>
        <w:bottom w:val="none" w:sz="0" w:space="0" w:color="auto"/>
        <w:right w:val="none" w:sz="0" w:space="0" w:color="auto"/>
      </w:divBdr>
    </w:div>
    <w:div w:id="1716929003">
      <w:bodyDiv w:val="1"/>
      <w:marLeft w:val="0"/>
      <w:marRight w:val="0"/>
      <w:marTop w:val="0"/>
      <w:marBottom w:val="0"/>
      <w:divBdr>
        <w:top w:val="none" w:sz="0" w:space="0" w:color="auto"/>
        <w:left w:val="none" w:sz="0" w:space="0" w:color="auto"/>
        <w:bottom w:val="none" w:sz="0" w:space="0" w:color="auto"/>
        <w:right w:val="none" w:sz="0" w:space="0" w:color="auto"/>
      </w:divBdr>
    </w:div>
    <w:div w:id="1737126343">
      <w:bodyDiv w:val="1"/>
      <w:marLeft w:val="0"/>
      <w:marRight w:val="0"/>
      <w:marTop w:val="0"/>
      <w:marBottom w:val="0"/>
      <w:divBdr>
        <w:top w:val="none" w:sz="0" w:space="0" w:color="auto"/>
        <w:left w:val="none" w:sz="0" w:space="0" w:color="auto"/>
        <w:bottom w:val="none" w:sz="0" w:space="0" w:color="auto"/>
        <w:right w:val="none" w:sz="0" w:space="0" w:color="auto"/>
      </w:divBdr>
    </w:div>
    <w:div w:id="1780562273">
      <w:bodyDiv w:val="1"/>
      <w:marLeft w:val="0"/>
      <w:marRight w:val="0"/>
      <w:marTop w:val="0"/>
      <w:marBottom w:val="0"/>
      <w:divBdr>
        <w:top w:val="none" w:sz="0" w:space="0" w:color="auto"/>
        <w:left w:val="none" w:sz="0" w:space="0" w:color="auto"/>
        <w:bottom w:val="none" w:sz="0" w:space="0" w:color="auto"/>
        <w:right w:val="none" w:sz="0" w:space="0" w:color="auto"/>
      </w:divBdr>
    </w:div>
    <w:div w:id="1820417360">
      <w:bodyDiv w:val="1"/>
      <w:marLeft w:val="0"/>
      <w:marRight w:val="0"/>
      <w:marTop w:val="0"/>
      <w:marBottom w:val="0"/>
      <w:divBdr>
        <w:top w:val="none" w:sz="0" w:space="0" w:color="auto"/>
        <w:left w:val="none" w:sz="0" w:space="0" w:color="auto"/>
        <w:bottom w:val="none" w:sz="0" w:space="0" w:color="auto"/>
        <w:right w:val="none" w:sz="0" w:space="0" w:color="auto"/>
      </w:divBdr>
    </w:div>
    <w:div w:id="1870216974">
      <w:bodyDiv w:val="1"/>
      <w:marLeft w:val="0"/>
      <w:marRight w:val="0"/>
      <w:marTop w:val="0"/>
      <w:marBottom w:val="0"/>
      <w:divBdr>
        <w:top w:val="none" w:sz="0" w:space="0" w:color="auto"/>
        <w:left w:val="none" w:sz="0" w:space="0" w:color="auto"/>
        <w:bottom w:val="none" w:sz="0" w:space="0" w:color="auto"/>
        <w:right w:val="none" w:sz="0" w:space="0" w:color="auto"/>
      </w:divBdr>
    </w:div>
    <w:div w:id="1872836201">
      <w:bodyDiv w:val="1"/>
      <w:marLeft w:val="0"/>
      <w:marRight w:val="0"/>
      <w:marTop w:val="0"/>
      <w:marBottom w:val="0"/>
      <w:divBdr>
        <w:top w:val="none" w:sz="0" w:space="0" w:color="auto"/>
        <w:left w:val="none" w:sz="0" w:space="0" w:color="auto"/>
        <w:bottom w:val="none" w:sz="0" w:space="0" w:color="auto"/>
        <w:right w:val="none" w:sz="0" w:space="0" w:color="auto"/>
      </w:divBdr>
    </w:div>
    <w:div w:id="1909804310">
      <w:bodyDiv w:val="1"/>
      <w:marLeft w:val="0"/>
      <w:marRight w:val="0"/>
      <w:marTop w:val="0"/>
      <w:marBottom w:val="0"/>
      <w:divBdr>
        <w:top w:val="none" w:sz="0" w:space="0" w:color="auto"/>
        <w:left w:val="none" w:sz="0" w:space="0" w:color="auto"/>
        <w:bottom w:val="none" w:sz="0" w:space="0" w:color="auto"/>
        <w:right w:val="none" w:sz="0" w:space="0" w:color="auto"/>
      </w:divBdr>
    </w:div>
    <w:div w:id="1921215071">
      <w:bodyDiv w:val="1"/>
      <w:marLeft w:val="0"/>
      <w:marRight w:val="0"/>
      <w:marTop w:val="0"/>
      <w:marBottom w:val="0"/>
      <w:divBdr>
        <w:top w:val="none" w:sz="0" w:space="0" w:color="auto"/>
        <w:left w:val="none" w:sz="0" w:space="0" w:color="auto"/>
        <w:bottom w:val="none" w:sz="0" w:space="0" w:color="auto"/>
        <w:right w:val="none" w:sz="0" w:space="0" w:color="auto"/>
      </w:divBdr>
    </w:div>
    <w:div w:id="1924492046">
      <w:bodyDiv w:val="1"/>
      <w:marLeft w:val="0"/>
      <w:marRight w:val="0"/>
      <w:marTop w:val="0"/>
      <w:marBottom w:val="0"/>
      <w:divBdr>
        <w:top w:val="none" w:sz="0" w:space="0" w:color="auto"/>
        <w:left w:val="none" w:sz="0" w:space="0" w:color="auto"/>
        <w:bottom w:val="none" w:sz="0" w:space="0" w:color="auto"/>
        <w:right w:val="none" w:sz="0" w:space="0" w:color="auto"/>
      </w:divBdr>
    </w:div>
    <w:div w:id="1934390578">
      <w:bodyDiv w:val="1"/>
      <w:marLeft w:val="0"/>
      <w:marRight w:val="0"/>
      <w:marTop w:val="0"/>
      <w:marBottom w:val="0"/>
      <w:divBdr>
        <w:top w:val="none" w:sz="0" w:space="0" w:color="auto"/>
        <w:left w:val="none" w:sz="0" w:space="0" w:color="auto"/>
        <w:bottom w:val="none" w:sz="0" w:space="0" w:color="auto"/>
        <w:right w:val="none" w:sz="0" w:space="0" w:color="auto"/>
      </w:divBdr>
    </w:div>
    <w:div w:id="1936739679">
      <w:bodyDiv w:val="1"/>
      <w:marLeft w:val="0"/>
      <w:marRight w:val="0"/>
      <w:marTop w:val="0"/>
      <w:marBottom w:val="0"/>
      <w:divBdr>
        <w:top w:val="none" w:sz="0" w:space="0" w:color="auto"/>
        <w:left w:val="none" w:sz="0" w:space="0" w:color="auto"/>
        <w:bottom w:val="none" w:sz="0" w:space="0" w:color="auto"/>
        <w:right w:val="none" w:sz="0" w:space="0" w:color="auto"/>
      </w:divBdr>
    </w:div>
    <w:div w:id="1951813529">
      <w:bodyDiv w:val="1"/>
      <w:marLeft w:val="0"/>
      <w:marRight w:val="0"/>
      <w:marTop w:val="0"/>
      <w:marBottom w:val="0"/>
      <w:divBdr>
        <w:top w:val="none" w:sz="0" w:space="0" w:color="auto"/>
        <w:left w:val="none" w:sz="0" w:space="0" w:color="auto"/>
        <w:bottom w:val="none" w:sz="0" w:space="0" w:color="auto"/>
        <w:right w:val="none" w:sz="0" w:space="0" w:color="auto"/>
      </w:divBdr>
    </w:div>
    <w:div w:id="1959873965">
      <w:bodyDiv w:val="1"/>
      <w:marLeft w:val="0"/>
      <w:marRight w:val="0"/>
      <w:marTop w:val="0"/>
      <w:marBottom w:val="0"/>
      <w:divBdr>
        <w:top w:val="none" w:sz="0" w:space="0" w:color="auto"/>
        <w:left w:val="none" w:sz="0" w:space="0" w:color="auto"/>
        <w:bottom w:val="none" w:sz="0" w:space="0" w:color="auto"/>
        <w:right w:val="none" w:sz="0" w:space="0" w:color="auto"/>
      </w:divBdr>
    </w:div>
    <w:div w:id="1968077350">
      <w:bodyDiv w:val="1"/>
      <w:marLeft w:val="0"/>
      <w:marRight w:val="0"/>
      <w:marTop w:val="0"/>
      <w:marBottom w:val="0"/>
      <w:divBdr>
        <w:top w:val="none" w:sz="0" w:space="0" w:color="auto"/>
        <w:left w:val="none" w:sz="0" w:space="0" w:color="auto"/>
        <w:bottom w:val="none" w:sz="0" w:space="0" w:color="auto"/>
        <w:right w:val="none" w:sz="0" w:space="0" w:color="auto"/>
      </w:divBdr>
    </w:div>
    <w:div w:id="1983726107">
      <w:bodyDiv w:val="1"/>
      <w:marLeft w:val="0"/>
      <w:marRight w:val="0"/>
      <w:marTop w:val="0"/>
      <w:marBottom w:val="0"/>
      <w:divBdr>
        <w:top w:val="none" w:sz="0" w:space="0" w:color="auto"/>
        <w:left w:val="none" w:sz="0" w:space="0" w:color="auto"/>
        <w:bottom w:val="none" w:sz="0" w:space="0" w:color="auto"/>
        <w:right w:val="none" w:sz="0" w:space="0" w:color="auto"/>
      </w:divBdr>
    </w:div>
    <w:div w:id="2010979359">
      <w:bodyDiv w:val="1"/>
      <w:marLeft w:val="0"/>
      <w:marRight w:val="0"/>
      <w:marTop w:val="0"/>
      <w:marBottom w:val="0"/>
      <w:divBdr>
        <w:top w:val="none" w:sz="0" w:space="0" w:color="auto"/>
        <w:left w:val="none" w:sz="0" w:space="0" w:color="auto"/>
        <w:bottom w:val="none" w:sz="0" w:space="0" w:color="auto"/>
        <w:right w:val="none" w:sz="0" w:space="0" w:color="auto"/>
      </w:divBdr>
    </w:div>
    <w:div w:id="2013297331">
      <w:bodyDiv w:val="1"/>
      <w:marLeft w:val="0"/>
      <w:marRight w:val="0"/>
      <w:marTop w:val="0"/>
      <w:marBottom w:val="0"/>
      <w:divBdr>
        <w:top w:val="none" w:sz="0" w:space="0" w:color="auto"/>
        <w:left w:val="none" w:sz="0" w:space="0" w:color="auto"/>
        <w:bottom w:val="none" w:sz="0" w:space="0" w:color="auto"/>
        <w:right w:val="none" w:sz="0" w:space="0" w:color="auto"/>
      </w:divBdr>
    </w:div>
    <w:div w:id="2080397107">
      <w:bodyDiv w:val="1"/>
      <w:marLeft w:val="0"/>
      <w:marRight w:val="0"/>
      <w:marTop w:val="0"/>
      <w:marBottom w:val="0"/>
      <w:divBdr>
        <w:top w:val="none" w:sz="0" w:space="0" w:color="auto"/>
        <w:left w:val="none" w:sz="0" w:space="0" w:color="auto"/>
        <w:bottom w:val="none" w:sz="0" w:space="0" w:color="auto"/>
        <w:right w:val="none" w:sz="0" w:space="0" w:color="auto"/>
      </w:divBdr>
    </w:div>
    <w:div w:id="2089568808">
      <w:bodyDiv w:val="1"/>
      <w:marLeft w:val="0"/>
      <w:marRight w:val="0"/>
      <w:marTop w:val="0"/>
      <w:marBottom w:val="0"/>
      <w:divBdr>
        <w:top w:val="none" w:sz="0" w:space="0" w:color="auto"/>
        <w:left w:val="none" w:sz="0" w:space="0" w:color="auto"/>
        <w:bottom w:val="none" w:sz="0" w:space="0" w:color="auto"/>
        <w:right w:val="none" w:sz="0" w:space="0" w:color="auto"/>
      </w:divBdr>
    </w:div>
    <w:div w:id="2101103072">
      <w:bodyDiv w:val="1"/>
      <w:marLeft w:val="0"/>
      <w:marRight w:val="0"/>
      <w:marTop w:val="0"/>
      <w:marBottom w:val="0"/>
      <w:divBdr>
        <w:top w:val="none" w:sz="0" w:space="0" w:color="auto"/>
        <w:left w:val="none" w:sz="0" w:space="0" w:color="auto"/>
        <w:bottom w:val="none" w:sz="0" w:space="0" w:color="auto"/>
        <w:right w:val="none" w:sz="0" w:space="0" w:color="auto"/>
      </w:divBdr>
    </w:div>
    <w:div w:id="213930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Hoja_de_c_lculo_de_Microsoft_Excel55.xlsx"/><Relationship Id="rId21" Type="http://schemas.openxmlformats.org/officeDocument/2006/relationships/package" Target="embeddings/Hoja_de_c_lculo_de_Microsoft_Excel7.xlsx"/><Relationship Id="rId42" Type="http://schemas.openxmlformats.org/officeDocument/2006/relationships/image" Target="media/image18.emf"/><Relationship Id="rId63" Type="http://schemas.openxmlformats.org/officeDocument/2006/relationships/package" Target="embeddings/Hoja_de_c_lculo_de_Microsoft_Excel28.xlsx"/><Relationship Id="rId84" Type="http://schemas.openxmlformats.org/officeDocument/2006/relationships/image" Target="media/image39.emf"/><Relationship Id="rId138" Type="http://schemas.openxmlformats.org/officeDocument/2006/relationships/package" Target="embeddings/Hoja_de_c_lculo_de_Microsoft_Excel65.xlsx"/><Relationship Id="rId159" Type="http://schemas.openxmlformats.org/officeDocument/2006/relationships/image" Target="media/image77.emf"/><Relationship Id="rId170" Type="http://schemas.openxmlformats.org/officeDocument/2006/relationships/package" Target="embeddings/Hoja_de_c_lculo_de_Microsoft_Excel81.xlsx"/><Relationship Id="rId191" Type="http://schemas.openxmlformats.org/officeDocument/2006/relationships/image" Target="media/image93.emf"/><Relationship Id="rId205" Type="http://schemas.openxmlformats.org/officeDocument/2006/relationships/image" Target="media/image100.emf"/><Relationship Id="rId107" Type="http://schemas.openxmlformats.org/officeDocument/2006/relationships/package" Target="embeddings/Hoja_de_c_lculo_de_Microsoft_Excel50.xlsx"/><Relationship Id="rId11" Type="http://schemas.openxmlformats.org/officeDocument/2006/relationships/package" Target="embeddings/Hoja_de_c_lculo_de_Microsoft_Excel2.xlsx"/><Relationship Id="rId32" Type="http://schemas.openxmlformats.org/officeDocument/2006/relationships/image" Target="media/image13.emf"/><Relationship Id="rId53" Type="http://schemas.openxmlformats.org/officeDocument/2006/relationships/package" Target="embeddings/Hoja_de_c_lculo_de_Microsoft_Excel23.xlsx"/><Relationship Id="rId74" Type="http://schemas.openxmlformats.org/officeDocument/2006/relationships/image" Target="media/image34.emf"/><Relationship Id="rId128" Type="http://schemas.openxmlformats.org/officeDocument/2006/relationships/package" Target="embeddings/Hoja_de_c_lculo_de_Microsoft_Excel60.xlsx"/><Relationship Id="rId149" Type="http://schemas.openxmlformats.org/officeDocument/2006/relationships/image" Target="media/image72.emf"/><Relationship Id="rId5" Type="http://schemas.openxmlformats.org/officeDocument/2006/relationships/webSettings" Target="webSettings.xml"/><Relationship Id="rId95" Type="http://schemas.openxmlformats.org/officeDocument/2006/relationships/package" Target="embeddings/Hoja_de_c_lculo_de_Microsoft_Excel44.xlsx"/><Relationship Id="rId160" Type="http://schemas.openxmlformats.org/officeDocument/2006/relationships/package" Target="embeddings/Hoja_de_c_lculo_de_Microsoft_Excel76.xlsx"/><Relationship Id="rId181" Type="http://schemas.openxmlformats.org/officeDocument/2006/relationships/image" Target="media/image88.emf"/><Relationship Id="rId216" Type="http://schemas.openxmlformats.org/officeDocument/2006/relationships/package" Target="embeddings/Hoja_de_c_lculo_de_Microsoft_Excel104.xlsx"/><Relationship Id="rId22" Type="http://schemas.openxmlformats.org/officeDocument/2006/relationships/image" Target="media/image8.emf"/><Relationship Id="rId43" Type="http://schemas.openxmlformats.org/officeDocument/2006/relationships/package" Target="embeddings/Hoja_de_c_lculo_de_Microsoft_Excel18.xls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image" Target="media/image67.emf"/><Relationship Id="rId85" Type="http://schemas.openxmlformats.org/officeDocument/2006/relationships/package" Target="embeddings/Hoja_de_c_lculo_de_Microsoft_Excel39.xlsx"/><Relationship Id="rId150" Type="http://schemas.openxmlformats.org/officeDocument/2006/relationships/package" Target="embeddings/Hoja_de_c_lculo_de_Microsoft_Excel71.xlsx"/><Relationship Id="rId171" Type="http://schemas.openxmlformats.org/officeDocument/2006/relationships/image" Target="media/image83.emf"/><Relationship Id="rId192" Type="http://schemas.openxmlformats.org/officeDocument/2006/relationships/package" Target="embeddings/Hoja_de_c_lculo_de_Microsoft_Excel92.xlsx"/><Relationship Id="rId206" Type="http://schemas.openxmlformats.org/officeDocument/2006/relationships/package" Target="embeddings/Hoja_de_c_lculo_de_Microsoft_Excel99.xlsx"/><Relationship Id="rId12" Type="http://schemas.openxmlformats.org/officeDocument/2006/relationships/image" Target="media/image3.emf"/><Relationship Id="rId33" Type="http://schemas.openxmlformats.org/officeDocument/2006/relationships/package" Target="embeddings/Hoja_de_c_lculo_de_Microsoft_Excel13.xlsx"/><Relationship Id="rId108" Type="http://schemas.openxmlformats.org/officeDocument/2006/relationships/image" Target="media/image51.emf"/><Relationship Id="rId129" Type="http://schemas.openxmlformats.org/officeDocument/2006/relationships/image" Target="media/image62.emf"/><Relationship Id="rId54" Type="http://schemas.openxmlformats.org/officeDocument/2006/relationships/image" Target="media/image24.emf"/><Relationship Id="rId75" Type="http://schemas.openxmlformats.org/officeDocument/2006/relationships/package" Target="embeddings/Hoja_de_c_lculo_de_Microsoft_Excel34.xlsx"/><Relationship Id="rId96" Type="http://schemas.openxmlformats.org/officeDocument/2006/relationships/image" Target="media/image45.emf"/><Relationship Id="rId140" Type="http://schemas.openxmlformats.org/officeDocument/2006/relationships/package" Target="embeddings/Hoja_de_c_lculo_de_Microsoft_Excel66.xlsx"/><Relationship Id="rId161" Type="http://schemas.openxmlformats.org/officeDocument/2006/relationships/image" Target="media/image78.emf"/><Relationship Id="rId182" Type="http://schemas.openxmlformats.org/officeDocument/2006/relationships/package" Target="embeddings/Hoja_de_c_lculo_de_Microsoft_Excel87.xlsx"/><Relationship Id="rId217" Type="http://schemas.openxmlformats.org/officeDocument/2006/relationships/image" Target="media/image106.emf"/><Relationship Id="rId6" Type="http://schemas.openxmlformats.org/officeDocument/2006/relationships/footnotes" Target="footnotes.xml"/><Relationship Id="rId23" Type="http://schemas.openxmlformats.org/officeDocument/2006/relationships/package" Target="embeddings/Hoja_de_c_lculo_de_Microsoft_Excel8.xlsx"/><Relationship Id="rId119" Type="http://schemas.openxmlformats.org/officeDocument/2006/relationships/package" Target="embeddings/Hoja_de_c_lculo_de_Microsoft_Excel56.xlsx"/><Relationship Id="rId44" Type="http://schemas.openxmlformats.org/officeDocument/2006/relationships/image" Target="media/image19.emf"/><Relationship Id="rId65" Type="http://schemas.openxmlformats.org/officeDocument/2006/relationships/package" Target="embeddings/Hoja_de_c_lculo_de_Microsoft_Excel29.xlsx"/><Relationship Id="rId86" Type="http://schemas.openxmlformats.org/officeDocument/2006/relationships/image" Target="media/image40.emf"/><Relationship Id="rId130" Type="http://schemas.openxmlformats.org/officeDocument/2006/relationships/package" Target="embeddings/Hoja_de_c_lculo_de_Microsoft_Excel61.xlsx"/><Relationship Id="rId151" Type="http://schemas.openxmlformats.org/officeDocument/2006/relationships/image" Target="media/image73.emf"/><Relationship Id="rId172" Type="http://schemas.openxmlformats.org/officeDocument/2006/relationships/package" Target="embeddings/Hoja_de_c_lculo_de_Microsoft_Excel82.xlsx"/><Relationship Id="rId193" Type="http://schemas.openxmlformats.org/officeDocument/2006/relationships/image" Target="media/image94.emf"/><Relationship Id="rId207" Type="http://schemas.openxmlformats.org/officeDocument/2006/relationships/image" Target="media/image101.emf"/><Relationship Id="rId13" Type="http://schemas.openxmlformats.org/officeDocument/2006/relationships/package" Target="embeddings/Hoja_de_c_lculo_de_Microsoft_Excel3.xlsx"/><Relationship Id="rId109" Type="http://schemas.openxmlformats.org/officeDocument/2006/relationships/package" Target="embeddings/Hoja_de_c_lculo_de_Microsoft_Excel51.xlsx"/><Relationship Id="rId34" Type="http://schemas.openxmlformats.org/officeDocument/2006/relationships/image" Target="media/image14.emf"/><Relationship Id="rId55" Type="http://schemas.openxmlformats.org/officeDocument/2006/relationships/package" Target="embeddings/Hoja_de_c_lculo_de_Microsoft_Excel24.xlsx"/><Relationship Id="rId76" Type="http://schemas.openxmlformats.org/officeDocument/2006/relationships/image" Target="media/image35.emf"/><Relationship Id="rId97" Type="http://schemas.openxmlformats.org/officeDocument/2006/relationships/package" Target="embeddings/Hoja_de_c_lculo_de_Microsoft_Excel45.xlsx"/><Relationship Id="rId120" Type="http://schemas.openxmlformats.org/officeDocument/2006/relationships/image" Target="media/image57.emf"/><Relationship Id="rId141" Type="http://schemas.openxmlformats.org/officeDocument/2006/relationships/image" Target="media/image68.emf"/><Relationship Id="rId7" Type="http://schemas.openxmlformats.org/officeDocument/2006/relationships/endnotes" Target="endnotes.xml"/><Relationship Id="rId162" Type="http://schemas.openxmlformats.org/officeDocument/2006/relationships/package" Target="embeddings/Hoja_de_c_lculo_de_Microsoft_Excel77.xlsx"/><Relationship Id="rId183" Type="http://schemas.openxmlformats.org/officeDocument/2006/relationships/image" Target="media/image89.emf"/><Relationship Id="rId218" Type="http://schemas.openxmlformats.org/officeDocument/2006/relationships/package" Target="embeddings/Hoja_de_c_lculo_de_Microsoft_Excel105.xlsx"/><Relationship Id="rId24" Type="http://schemas.openxmlformats.org/officeDocument/2006/relationships/image" Target="media/image9.emf"/><Relationship Id="rId45" Type="http://schemas.openxmlformats.org/officeDocument/2006/relationships/package" Target="embeddings/Hoja_de_c_lculo_de_Microsoft_Excel19.xlsx"/><Relationship Id="rId66" Type="http://schemas.openxmlformats.org/officeDocument/2006/relationships/image" Target="media/image30.emf"/><Relationship Id="rId87" Type="http://schemas.openxmlformats.org/officeDocument/2006/relationships/package" Target="embeddings/Hoja_de_c_lculo_de_Microsoft_Excel40.xlsx"/><Relationship Id="rId110" Type="http://schemas.openxmlformats.org/officeDocument/2006/relationships/image" Target="media/image52.emf"/><Relationship Id="rId131" Type="http://schemas.openxmlformats.org/officeDocument/2006/relationships/image" Target="media/image63.emf"/><Relationship Id="rId152" Type="http://schemas.openxmlformats.org/officeDocument/2006/relationships/package" Target="embeddings/Hoja_de_c_lculo_de_Microsoft_Excel72.xlsx"/><Relationship Id="rId173" Type="http://schemas.openxmlformats.org/officeDocument/2006/relationships/image" Target="media/image84.emf"/><Relationship Id="rId194" Type="http://schemas.openxmlformats.org/officeDocument/2006/relationships/package" Target="embeddings/Hoja_de_c_lculo_de_Microsoft_Excel93.xlsx"/><Relationship Id="rId208" Type="http://schemas.openxmlformats.org/officeDocument/2006/relationships/package" Target="embeddings/Hoja_de_c_lculo_de_Microsoft_Excel100.xlsx"/><Relationship Id="rId14" Type="http://schemas.openxmlformats.org/officeDocument/2006/relationships/image" Target="media/image4.emf"/><Relationship Id="rId35" Type="http://schemas.openxmlformats.org/officeDocument/2006/relationships/package" Target="embeddings/Hoja_de_c_lculo_de_Microsoft_Excel14.xlsx"/><Relationship Id="rId56" Type="http://schemas.openxmlformats.org/officeDocument/2006/relationships/image" Target="media/image25.emf"/><Relationship Id="rId77" Type="http://schemas.openxmlformats.org/officeDocument/2006/relationships/package" Target="embeddings/Hoja_de_c_lculo_de_Microsoft_Excel35.xlsx"/><Relationship Id="rId100" Type="http://schemas.openxmlformats.org/officeDocument/2006/relationships/image" Target="media/image47.emf"/><Relationship Id="rId8" Type="http://schemas.openxmlformats.org/officeDocument/2006/relationships/image" Target="media/image1.emf"/><Relationship Id="rId98" Type="http://schemas.openxmlformats.org/officeDocument/2006/relationships/image" Target="media/image46.emf"/><Relationship Id="rId121" Type="http://schemas.openxmlformats.org/officeDocument/2006/relationships/image" Target="media/image58.emf"/><Relationship Id="rId142" Type="http://schemas.openxmlformats.org/officeDocument/2006/relationships/package" Target="embeddings/Hoja_de_c_lculo_de_Microsoft_Excel67.xlsx"/><Relationship Id="rId163" Type="http://schemas.openxmlformats.org/officeDocument/2006/relationships/image" Target="media/image79.emf"/><Relationship Id="rId184" Type="http://schemas.openxmlformats.org/officeDocument/2006/relationships/package" Target="embeddings/Hoja_de_c_lculo_de_Microsoft_Excel88.xlsx"/><Relationship Id="rId219" Type="http://schemas.openxmlformats.org/officeDocument/2006/relationships/image" Target="media/image107.emf"/><Relationship Id="rId3" Type="http://schemas.openxmlformats.org/officeDocument/2006/relationships/styles" Target="styles.xml"/><Relationship Id="rId214" Type="http://schemas.openxmlformats.org/officeDocument/2006/relationships/package" Target="embeddings/Hoja_de_c_lculo_de_Microsoft_Excel103.xlsx"/><Relationship Id="rId25" Type="http://schemas.openxmlformats.org/officeDocument/2006/relationships/package" Target="embeddings/Hoja_de_c_lculo_de_Microsoft_Excel9.xlsx"/><Relationship Id="rId46" Type="http://schemas.openxmlformats.org/officeDocument/2006/relationships/image" Target="media/image20.emf"/><Relationship Id="rId67" Type="http://schemas.openxmlformats.org/officeDocument/2006/relationships/package" Target="embeddings/Hoja_de_c_lculo_de_Microsoft_Excel30.xlsx"/><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package" Target="embeddings/Hoja_de_c_lculo_de_Microsoft_Excel75.xlsx"/><Relationship Id="rId20" Type="http://schemas.openxmlformats.org/officeDocument/2006/relationships/image" Target="media/image7.emf"/><Relationship Id="rId41" Type="http://schemas.openxmlformats.org/officeDocument/2006/relationships/package" Target="embeddings/Hoja_de_c_lculo_de_Microsoft_Excel17.xlsx"/><Relationship Id="rId62" Type="http://schemas.openxmlformats.org/officeDocument/2006/relationships/image" Target="media/image28.emf"/><Relationship Id="rId83" Type="http://schemas.openxmlformats.org/officeDocument/2006/relationships/package" Target="embeddings/Hoja_de_c_lculo_de_Microsoft_Excel38.xlsx"/><Relationship Id="rId88" Type="http://schemas.openxmlformats.org/officeDocument/2006/relationships/image" Target="media/image41.emf"/><Relationship Id="rId111" Type="http://schemas.openxmlformats.org/officeDocument/2006/relationships/package" Target="embeddings/Hoja_de_c_lculo_de_Microsoft_Excel52.xlsx"/><Relationship Id="rId132" Type="http://schemas.openxmlformats.org/officeDocument/2006/relationships/package" Target="embeddings/Hoja_de_c_lculo_de_Microsoft_Excel62.xlsx"/><Relationship Id="rId153" Type="http://schemas.openxmlformats.org/officeDocument/2006/relationships/image" Target="media/image74.emf"/><Relationship Id="rId174" Type="http://schemas.openxmlformats.org/officeDocument/2006/relationships/package" Target="embeddings/Hoja_de_c_lculo_de_Microsoft_Excel83.xlsx"/><Relationship Id="rId179" Type="http://schemas.openxmlformats.org/officeDocument/2006/relationships/image" Target="media/image87.emf"/><Relationship Id="rId195" Type="http://schemas.openxmlformats.org/officeDocument/2006/relationships/image" Target="media/image95.emf"/><Relationship Id="rId209" Type="http://schemas.openxmlformats.org/officeDocument/2006/relationships/image" Target="media/image102.emf"/><Relationship Id="rId190" Type="http://schemas.openxmlformats.org/officeDocument/2006/relationships/package" Target="embeddings/Hoja_de_c_lculo_de_Microsoft_Excel91.xlsx"/><Relationship Id="rId204" Type="http://schemas.openxmlformats.org/officeDocument/2006/relationships/package" Target="embeddings/Hoja_de_c_lculo_de_Microsoft_Excel98.xlsx"/><Relationship Id="rId220" Type="http://schemas.openxmlformats.org/officeDocument/2006/relationships/package" Target="embeddings/Hoja_de_c_lculo_de_Microsoft_Excel106.xlsx"/><Relationship Id="rId225" Type="http://schemas.openxmlformats.org/officeDocument/2006/relationships/theme" Target="theme/theme1.xml"/><Relationship Id="rId15" Type="http://schemas.openxmlformats.org/officeDocument/2006/relationships/package" Target="embeddings/Hoja_de_c_lculo_de_Microsoft_Excel4.xlsx"/><Relationship Id="rId36" Type="http://schemas.openxmlformats.org/officeDocument/2006/relationships/image" Target="media/image15.emf"/><Relationship Id="rId57" Type="http://schemas.openxmlformats.org/officeDocument/2006/relationships/package" Target="embeddings/Hoja_de_c_lculo_de_Microsoft_Excel25.xlsx"/><Relationship Id="rId106" Type="http://schemas.openxmlformats.org/officeDocument/2006/relationships/image" Target="media/image50.emf"/><Relationship Id="rId127" Type="http://schemas.openxmlformats.org/officeDocument/2006/relationships/image" Target="media/image61.emf"/><Relationship Id="rId10" Type="http://schemas.openxmlformats.org/officeDocument/2006/relationships/image" Target="media/image2.emf"/><Relationship Id="rId31" Type="http://schemas.openxmlformats.org/officeDocument/2006/relationships/package" Target="embeddings/Hoja_de_c_lculo_de_Microsoft_Excel12.xlsx"/><Relationship Id="rId52" Type="http://schemas.openxmlformats.org/officeDocument/2006/relationships/image" Target="media/image23.emf"/><Relationship Id="rId73" Type="http://schemas.openxmlformats.org/officeDocument/2006/relationships/package" Target="embeddings/Hoja_de_c_lculo_de_Microsoft_Excel33.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Hoja_de_c_lculo_de_Microsoft_Excel46.xlsx"/><Relationship Id="rId101" Type="http://schemas.openxmlformats.org/officeDocument/2006/relationships/package" Target="embeddings/Hoja_de_c_lculo_de_Microsoft_Excel47.xlsx"/><Relationship Id="rId122" Type="http://schemas.openxmlformats.org/officeDocument/2006/relationships/package" Target="embeddings/Hoja_de_c_lculo_de_Microsoft_Excel57.xlsx"/><Relationship Id="rId143" Type="http://schemas.openxmlformats.org/officeDocument/2006/relationships/image" Target="media/image69.emf"/><Relationship Id="rId148" Type="http://schemas.openxmlformats.org/officeDocument/2006/relationships/package" Target="embeddings/Hoja_de_c_lculo_de_Microsoft_Excel70.xlsx"/><Relationship Id="rId164" Type="http://schemas.openxmlformats.org/officeDocument/2006/relationships/package" Target="embeddings/Hoja_de_c_lculo_de_Microsoft_Excel78.xls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package" Target="embeddings/Hoja_de_c_lculo_de_Microsoft_Excel1.xlsx"/><Relationship Id="rId180" Type="http://schemas.openxmlformats.org/officeDocument/2006/relationships/package" Target="embeddings/Hoja_de_c_lculo_de_Microsoft_Excel86.xlsx"/><Relationship Id="rId210" Type="http://schemas.openxmlformats.org/officeDocument/2006/relationships/package" Target="embeddings/Hoja_de_c_lculo_de_Microsoft_Excel101.xlsx"/><Relationship Id="rId215" Type="http://schemas.openxmlformats.org/officeDocument/2006/relationships/image" Target="media/image105.emf"/><Relationship Id="rId26" Type="http://schemas.openxmlformats.org/officeDocument/2006/relationships/image" Target="media/image10.emf"/><Relationship Id="rId47" Type="http://schemas.openxmlformats.org/officeDocument/2006/relationships/package" Target="embeddings/Hoja_de_c_lculo_de_Microsoft_Excel20.xlsx"/><Relationship Id="rId68" Type="http://schemas.openxmlformats.org/officeDocument/2006/relationships/image" Target="media/image31.emf"/><Relationship Id="rId89" Type="http://schemas.openxmlformats.org/officeDocument/2006/relationships/package" Target="embeddings/Hoja_de_c_lculo_de_Microsoft_Excel41.xlsx"/><Relationship Id="rId112" Type="http://schemas.openxmlformats.org/officeDocument/2006/relationships/image" Target="media/image53.emf"/><Relationship Id="rId133" Type="http://schemas.openxmlformats.org/officeDocument/2006/relationships/image" Target="media/image64.emf"/><Relationship Id="rId154" Type="http://schemas.openxmlformats.org/officeDocument/2006/relationships/package" Target="embeddings/Hoja_de_c_lculo_de_Microsoft_Excel73.xlsx"/><Relationship Id="rId175" Type="http://schemas.openxmlformats.org/officeDocument/2006/relationships/image" Target="media/image85.emf"/><Relationship Id="rId196" Type="http://schemas.openxmlformats.org/officeDocument/2006/relationships/package" Target="embeddings/Hoja_de_c_lculo_de_Microsoft_Excel94.xlsx"/><Relationship Id="rId200" Type="http://schemas.openxmlformats.org/officeDocument/2006/relationships/package" Target="embeddings/Hoja_de_c_lculo_de_Microsoft_Excel96.xlsx"/><Relationship Id="rId16" Type="http://schemas.openxmlformats.org/officeDocument/2006/relationships/image" Target="media/image5.emf"/><Relationship Id="rId221" Type="http://schemas.openxmlformats.org/officeDocument/2006/relationships/footer" Target="footer1.xml"/><Relationship Id="rId37" Type="http://schemas.openxmlformats.org/officeDocument/2006/relationships/package" Target="embeddings/Hoja_de_c_lculo_de_Microsoft_Excel15.xlsx"/><Relationship Id="rId58" Type="http://schemas.openxmlformats.org/officeDocument/2006/relationships/image" Target="media/image26.emf"/><Relationship Id="rId79" Type="http://schemas.openxmlformats.org/officeDocument/2006/relationships/package" Target="embeddings/Hoja_de_c_lculo_de_Microsoft_Excel36.xlsx"/><Relationship Id="rId102" Type="http://schemas.openxmlformats.org/officeDocument/2006/relationships/image" Target="media/image48.emf"/><Relationship Id="rId123" Type="http://schemas.openxmlformats.org/officeDocument/2006/relationships/image" Target="media/image59.emf"/><Relationship Id="rId144" Type="http://schemas.openxmlformats.org/officeDocument/2006/relationships/package" Target="embeddings/Hoja_de_c_lculo_de_Microsoft_Excel68.xlsx"/><Relationship Id="rId90" Type="http://schemas.openxmlformats.org/officeDocument/2006/relationships/image" Target="media/image42.emf"/><Relationship Id="rId165" Type="http://schemas.openxmlformats.org/officeDocument/2006/relationships/image" Target="media/image80.emf"/><Relationship Id="rId186" Type="http://schemas.openxmlformats.org/officeDocument/2006/relationships/package" Target="embeddings/Hoja_de_c_lculo_de_Microsoft_Excel89.xlsx"/><Relationship Id="rId211" Type="http://schemas.openxmlformats.org/officeDocument/2006/relationships/image" Target="media/image103.emf"/><Relationship Id="rId27" Type="http://schemas.openxmlformats.org/officeDocument/2006/relationships/package" Target="embeddings/Hoja_de_c_lculo_de_Microsoft_Excel10.xlsx"/><Relationship Id="rId48" Type="http://schemas.openxmlformats.org/officeDocument/2006/relationships/image" Target="media/image21.emf"/><Relationship Id="rId69" Type="http://schemas.openxmlformats.org/officeDocument/2006/relationships/package" Target="embeddings/Hoja_de_c_lculo_de_Microsoft_Excel31.xlsx"/><Relationship Id="rId113" Type="http://schemas.openxmlformats.org/officeDocument/2006/relationships/package" Target="embeddings/Hoja_de_c_lculo_de_Microsoft_Excel53.xlsx"/><Relationship Id="rId134" Type="http://schemas.openxmlformats.org/officeDocument/2006/relationships/package" Target="embeddings/Hoja_de_c_lculo_de_Microsoft_Excel63.xlsx"/><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package" Target="embeddings/Hoja_de_c_lculo_de_Microsoft_Excel84.xlsx"/><Relationship Id="rId197" Type="http://schemas.openxmlformats.org/officeDocument/2006/relationships/image" Target="media/image96.emf"/><Relationship Id="rId201" Type="http://schemas.openxmlformats.org/officeDocument/2006/relationships/image" Target="media/image98.emf"/><Relationship Id="rId222" Type="http://schemas.openxmlformats.org/officeDocument/2006/relationships/footer" Target="footer2.xml"/><Relationship Id="rId17" Type="http://schemas.openxmlformats.org/officeDocument/2006/relationships/package" Target="embeddings/Hoja_de_c_lculo_de_Microsoft_Excel5.xlsx"/><Relationship Id="rId38" Type="http://schemas.openxmlformats.org/officeDocument/2006/relationships/image" Target="media/image16.emf"/><Relationship Id="rId59" Type="http://schemas.openxmlformats.org/officeDocument/2006/relationships/package" Target="embeddings/Hoja_de_c_lculo_de_Microsoft_Excel26.xlsx"/><Relationship Id="rId103" Type="http://schemas.openxmlformats.org/officeDocument/2006/relationships/package" Target="embeddings/Hoja_de_c_lculo_de_Microsoft_Excel48.xlsx"/><Relationship Id="rId124" Type="http://schemas.openxmlformats.org/officeDocument/2006/relationships/package" Target="embeddings/Hoja_de_c_lculo_de_Microsoft_Excel58.xlsx"/><Relationship Id="rId70" Type="http://schemas.openxmlformats.org/officeDocument/2006/relationships/image" Target="media/image32.emf"/><Relationship Id="rId91" Type="http://schemas.openxmlformats.org/officeDocument/2006/relationships/package" Target="embeddings/Hoja_de_c_lculo_de_Microsoft_Excel42.xlsx"/><Relationship Id="rId145" Type="http://schemas.openxmlformats.org/officeDocument/2006/relationships/image" Target="media/image70.emf"/><Relationship Id="rId166" Type="http://schemas.openxmlformats.org/officeDocument/2006/relationships/package" Target="embeddings/Hoja_de_c_lculo_de_Microsoft_Excel79.xlsx"/><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package" Target="embeddings/Hoja_de_c_lculo_de_Microsoft_Excel102.xlsx"/><Relationship Id="rId28" Type="http://schemas.openxmlformats.org/officeDocument/2006/relationships/image" Target="media/image11.emf"/><Relationship Id="rId49" Type="http://schemas.openxmlformats.org/officeDocument/2006/relationships/package" Target="embeddings/Hoja_de_c_lculo_de_Microsoft_Excel21.xlsx"/><Relationship Id="rId114" Type="http://schemas.openxmlformats.org/officeDocument/2006/relationships/image" Target="media/image54.emf"/><Relationship Id="rId60" Type="http://schemas.openxmlformats.org/officeDocument/2006/relationships/image" Target="media/image27.emf"/><Relationship Id="rId81" Type="http://schemas.openxmlformats.org/officeDocument/2006/relationships/package" Target="embeddings/Hoja_de_c_lculo_de_Microsoft_Excel37.xlsx"/><Relationship Id="rId135" Type="http://schemas.openxmlformats.org/officeDocument/2006/relationships/image" Target="media/image65.emf"/><Relationship Id="rId156" Type="http://schemas.openxmlformats.org/officeDocument/2006/relationships/package" Target="embeddings/Hoja_de_c_lculo_de_Microsoft_Excel74.xlsx"/><Relationship Id="rId177" Type="http://schemas.openxmlformats.org/officeDocument/2006/relationships/image" Target="media/image86.emf"/><Relationship Id="rId198" Type="http://schemas.openxmlformats.org/officeDocument/2006/relationships/package" Target="embeddings/Hoja_de_c_lculo_de_Microsoft_Excel95.xlsx"/><Relationship Id="rId202" Type="http://schemas.openxmlformats.org/officeDocument/2006/relationships/package" Target="embeddings/Hoja_de_c_lculo_de_Microsoft_Excel97.xlsx"/><Relationship Id="rId223" Type="http://schemas.openxmlformats.org/officeDocument/2006/relationships/fontTable" Target="fontTable.xml"/><Relationship Id="rId18" Type="http://schemas.openxmlformats.org/officeDocument/2006/relationships/image" Target="media/image6.emf"/><Relationship Id="rId39" Type="http://schemas.openxmlformats.org/officeDocument/2006/relationships/package" Target="embeddings/Hoja_de_c_lculo_de_Microsoft_Excel16.xlsx"/><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image" Target="media/image60.emf"/><Relationship Id="rId146" Type="http://schemas.openxmlformats.org/officeDocument/2006/relationships/package" Target="embeddings/Hoja_de_c_lculo_de_Microsoft_Excel69.xlsx"/><Relationship Id="rId167" Type="http://schemas.openxmlformats.org/officeDocument/2006/relationships/image" Target="media/image81.emf"/><Relationship Id="rId188" Type="http://schemas.openxmlformats.org/officeDocument/2006/relationships/package" Target="embeddings/Hoja_de_c_lculo_de_Microsoft_Excel90.xlsx"/><Relationship Id="rId71" Type="http://schemas.openxmlformats.org/officeDocument/2006/relationships/package" Target="embeddings/Hoja_de_c_lculo_de_Microsoft_Excel32.xlsx"/><Relationship Id="rId92" Type="http://schemas.openxmlformats.org/officeDocument/2006/relationships/image" Target="media/image43.emf"/><Relationship Id="rId213" Type="http://schemas.openxmlformats.org/officeDocument/2006/relationships/image" Target="media/image104.emf"/><Relationship Id="rId2" Type="http://schemas.openxmlformats.org/officeDocument/2006/relationships/numbering" Target="numbering.xml"/><Relationship Id="rId29" Type="http://schemas.openxmlformats.org/officeDocument/2006/relationships/package" Target="embeddings/Hoja_de_c_lculo_de_Microsoft_Excel11.xlsx"/><Relationship Id="rId40" Type="http://schemas.openxmlformats.org/officeDocument/2006/relationships/image" Target="media/image17.emf"/><Relationship Id="rId115" Type="http://schemas.openxmlformats.org/officeDocument/2006/relationships/package" Target="embeddings/Hoja_de_c_lculo_de_Microsoft_Excel54.xlsx"/><Relationship Id="rId136" Type="http://schemas.openxmlformats.org/officeDocument/2006/relationships/package" Target="embeddings/Hoja_de_c_lculo_de_Microsoft_Excel64.xlsx"/><Relationship Id="rId157" Type="http://schemas.openxmlformats.org/officeDocument/2006/relationships/image" Target="media/image76.emf"/><Relationship Id="rId178" Type="http://schemas.openxmlformats.org/officeDocument/2006/relationships/package" Target="embeddings/Hoja_de_c_lculo_de_Microsoft_Excel85.xlsx"/><Relationship Id="rId61" Type="http://schemas.openxmlformats.org/officeDocument/2006/relationships/package" Target="embeddings/Hoja_de_c_lculo_de_Microsoft_Excel27.xlsx"/><Relationship Id="rId82" Type="http://schemas.openxmlformats.org/officeDocument/2006/relationships/image" Target="media/image38.emf"/><Relationship Id="rId199" Type="http://schemas.openxmlformats.org/officeDocument/2006/relationships/image" Target="media/image97.emf"/><Relationship Id="rId203" Type="http://schemas.openxmlformats.org/officeDocument/2006/relationships/image" Target="media/image99.emf"/><Relationship Id="rId19" Type="http://schemas.openxmlformats.org/officeDocument/2006/relationships/package" Target="embeddings/Hoja_de_c_lculo_de_Microsoft_Excel6.xlsx"/><Relationship Id="rId224" Type="http://schemas.openxmlformats.org/officeDocument/2006/relationships/glossaryDocument" Target="glossary/document.xml"/><Relationship Id="rId30" Type="http://schemas.openxmlformats.org/officeDocument/2006/relationships/image" Target="media/image12.emf"/><Relationship Id="rId105" Type="http://schemas.openxmlformats.org/officeDocument/2006/relationships/package" Target="embeddings/Hoja_de_c_lculo_de_Microsoft_Excel49.xlsx"/><Relationship Id="rId126" Type="http://schemas.openxmlformats.org/officeDocument/2006/relationships/package" Target="embeddings/Hoja_de_c_lculo_de_Microsoft_Excel59.xlsx"/><Relationship Id="rId147" Type="http://schemas.openxmlformats.org/officeDocument/2006/relationships/image" Target="media/image71.emf"/><Relationship Id="rId168" Type="http://schemas.openxmlformats.org/officeDocument/2006/relationships/package" Target="embeddings/Hoja_de_c_lculo_de_Microsoft_Excel80.xlsx"/><Relationship Id="rId51" Type="http://schemas.openxmlformats.org/officeDocument/2006/relationships/package" Target="embeddings/Hoja_de_c_lculo_de_Microsoft_Excel22.xlsx"/><Relationship Id="rId72" Type="http://schemas.openxmlformats.org/officeDocument/2006/relationships/image" Target="media/image33.emf"/><Relationship Id="rId93" Type="http://schemas.openxmlformats.org/officeDocument/2006/relationships/package" Target="embeddings/Hoja_de_c_lculo_de_Microsoft_Excel43.xlsx"/><Relationship Id="rId189" Type="http://schemas.openxmlformats.org/officeDocument/2006/relationships/image" Target="media/image9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164CD3D3A849489F203EC6C9E8AC5D"/>
        <w:category>
          <w:name w:val="General"/>
          <w:gallery w:val="placeholder"/>
        </w:category>
        <w:types>
          <w:type w:val="bbPlcHdr"/>
        </w:types>
        <w:behaviors>
          <w:behavior w:val="content"/>
        </w:behaviors>
        <w:guid w:val="{4222070B-CB18-42E3-AED7-0122EBC8B726}"/>
      </w:docPartPr>
      <w:docPartBody>
        <w:p w:rsidR="00000000" w:rsidRDefault="001E5FAD" w:rsidP="001E5FAD">
          <w:pPr>
            <w:pStyle w:val="5F164CD3D3A849489F203EC6C9E8AC5D"/>
          </w:pPr>
          <w: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FAD"/>
    <w:rsid w:val="001E5FAD"/>
    <w:rsid w:val="00375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5F164CD3D3A849489F203EC6C9E8AC5D">
    <w:name w:val="5F164CD3D3A849489F203EC6C9E8AC5D"/>
    <w:rsid w:val="001E5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6081-AD8E-44C8-9F8F-D0980DB3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40</Pages>
  <Words>5381</Words>
  <Characters>29597</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notas a estados financieros</vt:lpstr>
    </vt:vector>
  </TitlesOfParts>
  <Company>Archivo Nacional - Costa Rica</Company>
  <LinksUpToDate>false</LinksUpToDate>
  <CharactersWithSpaces>34909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1 y 2</dc:title>
  <dc:creator>HECTOR VELAZQUEZ U.</dc:creator>
  <cp:keywords>ingreso corresponde cuenta arte nacional</cp:keywords>
  <cp:lastModifiedBy>Maricela Cordero Vega</cp:lastModifiedBy>
  <cp:revision>26</cp:revision>
  <cp:lastPrinted>2016-10-20T19:34:00Z</cp:lastPrinted>
  <dcterms:created xsi:type="dcterms:W3CDTF">2015-01-27T20:17:00Z</dcterms:created>
  <dcterms:modified xsi:type="dcterms:W3CDTF">2017-04-28T23:32:00Z</dcterms:modified>
</cp:coreProperties>
</file>